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644"/>
        <w:gridCol w:w="8812"/>
      </w:tblGrid>
      <w:tr w:rsidR="000C15C9" w:rsidRPr="001719D0" w14:paraId="0970A537" w14:textId="77777777" w:rsidTr="000F1EE9">
        <w:tc>
          <w:tcPr>
            <w:tcW w:w="786" w:type="pct"/>
          </w:tcPr>
          <w:p w14:paraId="743ACAEC" w14:textId="1A2A1798" w:rsidR="000C15C9" w:rsidRPr="001719D0" w:rsidRDefault="000C15C9" w:rsidP="000C15C9">
            <w:r w:rsidRPr="001719D0">
              <w:rPr>
                <w:rFonts w:ascii="Calibri" w:hAnsi="Calibri"/>
                <w:b/>
              </w:rPr>
              <w:t>Purpose</w:t>
            </w:r>
          </w:p>
        </w:tc>
        <w:tc>
          <w:tcPr>
            <w:tcW w:w="4214" w:type="pct"/>
          </w:tcPr>
          <w:p w14:paraId="6A79A00C" w14:textId="5549807A" w:rsidR="00A06BF6" w:rsidRPr="000F1EE9" w:rsidRDefault="000C15C9" w:rsidP="000F1EE9">
            <w:pPr>
              <w:spacing w:after="240" w:line="240" w:lineRule="auto"/>
              <w:jc w:val="both"/>
            </w:pPr>
            <w:r w:rsidRPr="001719D0">
              <w:t>The practice maintains an effective immunisation programme.</w:t>
            </w:r>
          </w:p>
          <w:p w14:paraId="0E87C3D6" w14:textId="2D7AA645" w:rsidR="008E3949" w:rsidRPr="000F1EE9" w:rsidRDefault="008E3949" w:rsidP="000F1EE9">
            <w:pPr>
              <w:spacing w:after="240" w:line="240" w:lineRule="auto"/>
              <w:jc w:val="both"/>
              <w:rPr>
                <w:rFonts w:eastAsia="Nunito Sans" w:cstheme="minorHAnsi"/>
              </w:rPr>
            </w:pPr>
            <w:r w:rsidRPr="001719D0">
              <w:rPr>
                <w:rFonts w:eastAsia="Nunito Sans" w:cstheme="minorHAnsi"/>
              </w:rPr>
              <w:t xml:space="preserve">The </w:t>
            </w:r>
            <w:r w:rsidR="00A06BF6">
              <w:rPr>
                <w:rFonts w:eastAsia="Nunito Sans" w:cstheme="minorHAnsi"/>
              </w:rPr>
              <w:t>p</w:t>
            </w:r>
            <w:r w:rsidRPr="001719D0">
              <w:rPr>
                <w:rFonts w:eastAsia="Nunito Sans" w:cstheme="minorHAnsi"/>
              </w:rPr>
              <w:t xml:space="preserve">ractice aims to fully </w:t>
            </w:r>
            <w:r w:rsidR="001719D0" w:rsidRPr="001719D0">
              <w:rPr>
                <w:rFonts w:eastAsia="Nunito Sans" w:cstheme="minorHAnsi"/>
              </w:rPr>
              <w:t>i</w:t>
            </w:r>
            <w:r w:rsidRPr="001719D0">
              <w:rPr>
                <w:rFonts w:eastAsia="Nunito Sans" w:cstheme="minorHAnsi"/>
              </w:rPr>
              <w:t xml:space="preserve">mmunise all enrolled babies, children, and eligible adults, according to the </w:t>
            </w:r>
            <w:hyperlink r:id="rId10">
              <w:r w:rsidRPr="00B319C0">
                <w:rPr>
                  <w:rStyle w:val="Hyperlink"/>
                  <w:rFonts w:eastAsia="Nunito Sans" w:cstheme="minorHAnsi"/>
                </w:rPr>
                <w:t>National Immunisation Schedule</w:t>
              </w:r>
            </w:hyperlink>
            <w:r w:rsidRPr="00B319C0">
              <w:rPr>
                <w:rFonts w:eastAsia="Nunito Sans" w:cstheme="minorHAnsi"/>
                <w:color w:val="0000FF"/>
              </w:rPr>
              <w:t xml:space="preserve"> </w:t>
            </w:r>
            <w:r w:rsidRPr="001719D0">
              <w:rPr>
                <w:rFonts w:eastAsia="Nunito Sans" w:cstheme="minorHAnsi"/>
              </w:rPr>
              <w:t>(NIS). Before any vaccination is administered, the clinician checks that the immunisation is due, and that the correct vaccine is being used.</w:t>
            </w:r>
          </w:p>
        </w:tc>
      </w:tr>
      <w:tr w:rsidR="000C15C9" w:rsidRPr="001719D0" w14:paraId="6D59A106" w14:textId="77777777" w:rsidTr="000F1EE9">
        <w:tc>
          <w:tcPr>
            <w:tcW w:w="786" w:type="pct"/>
          </w:tcPr>
          <w:p w14:paraId="417ED27F" w14:textId="03D74C33" w:rsidR="000C15C9" w:rsidRPr="001719D0" w:rsidRDefault="000C15C9" w:rsidP="000C15C9">
            <w:r w:rsidRPr="001719D0">
              <w:rPr>
                <w:rFonts w:ascii="Calibri" w:hAnsi="Calibri"/>
                <w:b/>
              </w:rPr>
              <w:t>Scope</w:t>
            </w:r>
          </w:p>
        </w:tc>
        <w:tc>
          <w:tcPr>
            <w:tcW w:w="4214" w:type="pct"/>
          </w:tcPr>
          <w:p w14:paraId="395E2FB9" w14:textId="7EDB8608" w:rsidR="000C15C9" w:rsidRPr="001719D0" w:rsidRDefault="008E3949" w:rsidP="000F1EE9">
            <w:pPr>
              <w:spacing w:after="240" w:line="240" w:lineRule="auto"/>
              <w:jc w:val="both"/>
              <w:rPr>
                <w:rFonts w:cstheme="minorHAnsi"/>
              </w:rPr>
            </w:pPr>
            <w:r w:rsidRPr="001719D0">
              <w:rPr>
                <w:rFonts w:eastAsia="Nunito Sans" w:cstheme="minorHAnsi"/>
              </w:rPr>
              <w:t xml:space="preserve">All clinicians who administer vaccinations </w:t>
            </w:r>
            <w:r w:rsidR="00277942" w:rsidRPr="001719D0">
              <w:rPr>
                <w:rFonts w:eastAsia="Nunito Sans" w:cstheme="minorHAnsi"/>
              </w:rPr>
              <w:t>m</w:t>
            </w:r>
            <w:r w:rsidR="00715517" w:rsidRPr="001719D0">
              <w:rPr>
                <w:rFonts w:eastAsia="Nunito Sans" w:cstheme="minorHAnsi"/>
              </w:rPr>
              <w:t xml:space="preserve">ust </w:t>
            </w:r>
            <w:r w:rsidRPr="001719D0">
              <w:rPr>
                <w:rFonts w:eastAsia="Nunito Sans" w:cstheme="minorHAnsi"/>
              </w:rPr>
              <w:t xml:space="preserve">hold a current vaccination authorisation. Practice team members who do not have vaccination authorisation, or whose authorisation is pending, </w:t>
            </w:r>
            <w:r w:rsidR="001719D0" w:rsidRPr="001719D0">
              <w:rPr>
                <w:rFonts w:eastAsia="Nunito Sans" w:cstheme="minorHAnsi"/>
              </w:rPr>
              <w:t xml:space="preserve">can </w:t>
            </w:r>
            <w:r w:rsidRPr="001719D0">
              <w:rPr>
                <w:rFonts w:eastAsia="Nunito Sans" w:cstheme="minorHAnsi"/>
              </w:rPr>
              <w:t>only administer vaccinations under standing orders.</w:t>
            </w:r>
          </w:p>
        </w:tc>
      </w:tr>
      <w:tr w:rsidR="000C15C9" w:rsidRPr="001719D0" w14:paraId="1194BC1F" w14:textId="77777777" w:rsidTr="000F1EE9">
        <w:tc>
          <w:tcPr>
            <w:tcW w:w="786" w:type="pct"/>
          </w:tcPr>
          <w:p w14:paraId="228354B3" w14:textId="752D3B49" w:rsidR="000C15C9" w:rsidRPr="001719D0" w:rsidRDefault="002D18BE" w:rsidP="000C15C9">
            <w:pPr>
              <w:rPr>
                <w:b/>
                <w:bCs/>
              </w:rPr>
            </w:pPr>
            <w:r w:rsidRPr="001719D0">
              <w:rPr>
                <w:b/>
                <w:bCs/>
              </w:rPr>
              <w:t>Overview</w:t>
            </w:r>
          </w:p>
        </w:tc>
        <w:tc>
          <w:tcPr>
            <w:tcW w:w="4214" w:type="pct"/>
          </w:tcPr>
          <w:p w14:paraId="6D9B9CA6" w14:textId="7FD2B93C" w:rsidR="00A06BF6" w:rsidRDefault="002D18BE" w:rsidP="000F1EE9">
            <w:pPr>
              <w:pStyle w:val="Default"/>
              <w:spacing w:after="240"/>
              <w:jc w:val="both"/>
              <w:rPr>
                <w:sz w:val="22"/>
                <w:szCs w:val="22"/>
              </w:rPr>
            </w:pPr>
            <w:r w:rsidRPr="001719D0">
              <w:rPr>
                <w:sz w:val="22"/>
                <w:szCs w:val="22"/>
              </w:rPr>
              <w:t xml:space="preserve">The </w:t>
            </w:r>
            <w:r w:rsidR="001719D0" w:rsidRPr="001719D0">
              <w:rPr>
                <w:sz w:val="22"/>
                <w:szCs w:val="22"/>
              </w:rPr>
              <w:t>p</w:t>
            </w:r>
            <w:r w:rsidR="000E5DE8" w:rsidRPr="001719D0">
              <w:rPr>
                <w:sz w:val="22"/>
                <w:szCs w:val="22"/>
              </w:rPr>
              <w:t xml:space="preserve">ractice ensures that all patients who are identified as eligible are offered immunisations that are appropriate for their age or medical condition. Patients or their caregivers are provided with current, evidence-based information to enable them to make an informed decision regarding immunisation. </w:t>
            </w:r>
          </w:p>
          <w:p w14:paraId="10C3F4C6" w14:textId="2B1EEE5F" w:rsidR="000E6100" w:rsidRDefault="00A06BF6" w:rsidP="000F1EE9">
            <w:pPr>
              <w:pStyle w:val="Default"/>
              <w:spacing w:after="240"/>
              <w:jc w:val="both"/>
              <w:rPr>
                <w:i/>
                <w:iCs/>
                <w:sz w:val="22"/>
                <w:szCs w:val="22"/>
              </w:rPr>
            </w:pPr>
            <w:r>
              <w:rPr>
                <w:sz w:val="22"/>
                <w:szCs w:val="22"/>
              </w:rPr>
              <w:t>V</w:t>
            </w:r>
            <w:r w:rsidR="000E5DE8" w:rsidRPr="001719D0">
              <w:rPr>
                <w:sz w:val="22"/>
                <w:szCs w:val="22"/>
              </w:rPr>
              <w:t xml:space="preserve">accinations are carried out according to the standards for vaccinators in the current </w:t>
            </w:r>
            <w:r w:rsidR="006663BA">
              <w:rPr>
                <w:sz w:val="22"/>
                <w:szCs w:val="22"/>
              </w:rPr>
              <w:t>Te Whatu Ora(Health NZ)</w:t>
            </w:r>
            <w:r w:rsidR="000E5DE8" w:rsidRPr="001719D0">
              <w:rPr>
                <w:sz w:val="22"/>
                <w:szCs w:val="22"/>
              </w:rPr>
              <w:t xml:space="preserve"> </w:t>
            </w:r>
            <w:hyperlink r:id="rId11" w:history="1">
              <w:r w:rsidR="000E5DE8" w:rsidRPr="000E6100">
                <w:rPr>
                  <w:rStyle w:val="Hyperlink"/>
                  <w:i/>
                  <w:iCs/>
                  <w:sz w:val="22"/>
                  <w:szCs w:val="22"/>
                </w:rPr>
                <w:t>Immunisation Handbook</w:t>
              </w:r>
            </w:hyperlink>
            <w:r w:rsidR="000E6100">
              <w:rPr>
                <w:i/>
                <w:iCs/>
                <w:sz w:val="22"/>
                <w:szCs w:val="22"/>
              </w:rPr>
              <w:t xml:space="preserve">. </w:t>
            </w:r>
          </w:p>
          <w:p w14:paraId="235511B3" w14:textId="58E5F7C3" w:rsidR="000C15C9" w:rsidRPr="001719D0" w:rsidRDefault="000E5DE8" w:rsidP="000F1EE9">
            <w:pPr>
              <w:pStyle w:val="Default"/>
              <w:spacing w:after="240"/>
              <w:jc w:val="both"/>
              <w:rPr>
                <w:i/>
                <w:iCs/>
                <w:sz w:val="22"/>
                <w:szCs w:val="22"/>
              </w:rPr>
            </w:pPr>
            <w:r w:rsidRPr="001719D0">
              <w:rPr>
                <w:sz w:val="22"/>
                <w:szCs w:val="22"/>
              </w:rPr>
              <w:t xml:space="preserve">The </w:t>
            </w:r>
            <w:r w:rsidR="000E6100">
              <w:rPr>
                <w:sz w:val="22"/>
                <w:szCs w:val="22"/>
              </w:rPr>
              <w:t xml:space="preserve">practice </w:t>
            </w:r>
            <w:r w:rsidRPr="001719D0">
              <w:rPr>
                <w:sz w:val="22"/>
                <w:szCs w:val="22"/>
              </w:rPr>
              <w:t xml:space="preserve">policy is reviewed and updated annually. </w:t>
            </w:r>
          </w:p>
        </w:tc>
      </w:tr>
      <w:tr w:rsidR="002D18BE" w:rsidRPr="001719D0" w14:paraId="20FA7BD1" w14:textId="77777777" w:rsidTr="000F1EE9">
        <w:tc>
          <w:tcPr>
            <w:tcW w:w="786" w:type="pct"/>
          </w:tcPr>
          <w:p w14:paraId="24642839" w14:textId="77777777" w:rsidR="002D18BE" w:rsidRDefault="002D18BE" w:rsidP="000C15C9">
            <w:pPr>
              <w:rPr>
                <w:rFonts w:ascii="Calibri" w:hAnsi="Calibri"/>
                <w:b/>
              </w:rPr>
            </w:pPr>
            <w:r w:rsidRPr="001719D0">
              <w:rPr>
                <w:rFonts w:ascii="Calibri" w:hAnsi="Calibri"/>
                <w:b/>
              </w:rPr>
              <w:t>Responsibilities</w:t>
            </w:r>
          </w:p>
          <w:p w14:paraId="76E576D4" w14:textId="77777777" w:rsidR="00BE48F6" w:rsidRPr="00BE48F6" w:rsidRDefault="00BE48F6" w:rsidP="00BE48F6">
            <w:pPr>
              <w:rPr>
                <w:rFonts w:ascii="Calibri" w:hAnsi="Calibri"/>
              </w:rPr>
            </w:pPr>
          </w:p>
          <w:p w14:paraId="68AE11D1" w14:textId="77777777" w:rsidR="00BE48F6" w:rsidRPr="00BE48F6" w:rsidRDefault="00BE48F6" w:rsidP="00BE48F6">
            <w:pPr>
              <w:rPr>
                <w:rFonts w:ascii="Calibri" w:hAnsi="Calibri"/>
              </w:rPr>
            </w:pPr>
          </w:p>
          <w:p w14:paraId="6EB59BFF" w14:textId="77777777" w:rsidR="00BE48F6" w:rsidRPr="00BE48F6" w:rsidRDefault="00BE48F6" w:rsidP="00BE48F6">
            <w:pPr>
              <w:rPr>
                <w:rFonts w:ascii="Calibri" w:hAnsi="Calibri"/>
              </w:rPr>
            </w:pPr>
          </w:p>
          <w:p w14:paraId="3A2DADBC" w14:textId="77777777" w:rsidR="00BE48F6" w:rsidRPr="00BE48F6" w:rsidRDefault="00BE48F6" w:rsidP="00BE48F6">
            <w:pPr>
              <w:rPr>
                <w:rFonts w:ascii="Calibri" w:hAnsi="Calibri"/>
              </w:rPr>
            </w:pPr>
          </w:p>
          <w:p w14:paraId="089B7D17" w14:textId="77777777" w:rsidR="00BE48F6" w:rsidRPr="00BE48F6" w:rsidRDefault="00BE48F6" w:rsidP="00BE48F6">
            <w:pPr>
              <w:rPr>
                <w:rFonts w:ascii="Calibri" w:hAnsi="Calibri"/>
              </w:rPr>
            </w:pPr>
          </w:p>
          <w:p w14:paraId="26287014" w14:textId="77777777" w:rsidR="00BE48F6" w:rsidRPr="00BE48F6" w:rsidRDefault="00BE48F6" w:rsidP="00BE48F6">
            <w:pPr>
              <w:rPr>
                <w:rFonts w:ascii="Calibri" w:hAnsi="Calibri"/>
              </w:rPr>
            </w:pPr>
          </w:p>
          <w:p w14:paraId="27B2A26D" w14:textId="77777777" w:rsidR="00BE48F6" w:rsidRPr="00BE48F6" w:rsidRDefault="00BE48F6" w:rsidP="00BE48F6">
            <w:pPr>
              <w:rPr>
                <w:rFonts w:ascii="Calibri" w:hAnsi="Calibri"/>
              </w:rPr>
            </w:pPr>
          </w:p>
          <w:p w14:paraId="31CF7EEB" w14:textId="77777777" w:rsidR="00BE48F6" w:rsidRPr="00BE48F6" w:rsidRDefault="00BE48F6" w:rsidP="00BE48F6">
            <w:pPr>
              <w:rPr>
                <w:rFonts w:ascii="Calibri" w:hAnsi="Calibri"/>
              </w:rPr>
            </w:pPr>
          </w:p>
          <w:p w14:paraId="67667950" w14:textId="77777777" w:rsidR="00BE48F6" w:rsidRPr="00BE48F6" w:rsidRDefault="00BE48F6" w:rsidP="00BE48F6">
            <w:pPr>
              <w:rPr>
                <w:rFonts w:ascii="Calibri" w:hAnsi="Calibri"/>
              </w:rPr>
            </w:pPr>
          </w:p>
          <w:p w14:paraId="40F13AE8" w14:textId="77777777" w:rsidR="00BE48F6" w:rsidRPr="00BE48F6" w:rsidRDefault="00BE48F6" w:rsidP="00BE48F6">
            <w:pPr>
              <w:rPr>
                <w:rFonts w:ascii="Calibri" w:hAnsi="Calibri"/>
              </w:rPr>
            </w:pPr>
          </w:p>
          <w:p w14:paraId="68DF1D5C" w14:textId="77777777" w:rsidR="00BE48F6" w:rsidRPr="00BE48F6" w:rsidRDefault="00BE48F6" w:rsidP="00BE48F6">
            <w:pPr>
              <w:rPr>
                <w:rFonts w:ascii="Calibri" w:hAnsi="Calibri"/>
              </w:rPr>
            </w:pPr>
          </w:p>
          <w:p w14:paraId="20861EAD" w14:textId="77777777" w:rsidR="00BE48F6" w:rsidRPr="00BE48F6" w:rsidRDefault="00BE48F6" w:rsidP="00BE48F6">
            <w:pPr>
              <w:rPr>
                <w:rFonts w:ascii="Calibri" w:hAnsi="Calibri"/>
              </w:rPr>
            </w:pPr>
          </w:p>
          <w:p w14:paraId="26F5660E" w14:textId="77777777" w:rsidR="00BE48F6" w:rsidRPr="00BE48F6" w:rsidRDefault="00BE48F6" w:rsidP="00BE48F6">
            <w:pPr>
              <w:rPr>
                <w:rFonts w:ascii="Calibri" w:hAnsi="Calibri"/>
              </w:rPr>
            </w:pPr>
          </w:p>
          <w:p w14:paraId="0071E4B8" w14:textId="77777777" w:rsidR="00BE48F6" w:rsidRPr="00BE48F6" w:rsidRDefault="00BE48F6" w:rsidP="00BE48F6">
            <w:pPr>
              <w:rPr>
                <w:rFonts w:ascii="Calibri" w:hAnsi="Calibri"/>
              </w:rPr>
            </w:pPr>
          </w:p>
          <w:p w14:paraId="6E4BB364" w14:textId="2F58E5BA" w:rsidR="00BE48F6" w:rsidRPr="00BE48F6" w:rsidRDefault="00BE48F6" w:rsidP="00BE48F6">
            <w:pPr>
              <w:jc w:val="center"/>
              <w:rPr>
                <w:rFonts w:ascii="Calibri" w:hAnsi="Calibri"/>
              </w:rPr>
            </w:pPr>
          </w:p>
        </w:tc>
        <w:tc>
          <w:tcPr>
            <w:tcW w:w="4214" w:type="pct"/>
          </w:tcPr>
          <w:p w14:paraId="49FF18F9" w14:textId="2A3C8A8A" w:rsidR="002D18BE" w:rsidRPr="001719D0" w:rsidRDefault="002D18BE" w:rsidP="000F1EE9">
            <w:pPr>
              <w:spacing w:after="240" w:line="240" w:lineRule="auto"/>
              <w:jc w:val="both"/>
            </w:pPr>
            <w:r w:rsidRPr="001719D0">
              <w:t xml:space="preserve">The </w:t>
            </w:r>
            <w:r w:rsidR="00A06BF6">
              <w:t>p</w:t>
            </w:r>
            <w:r w:rsidRPr="001719D0">
              <w:t>ractice recognises that immunisation helps minimise the risk of infection and that having a proactive immunisation programme helps to control diseases at a population level.</w:t>
            </w:r>
          </w:p>
          <w:p w14:paraId="46BFD610" w14:textId="6F9BAC97" w:rsidR="002D18BE" w:rsidRPr="001719D0" w:rsidRDefault="002D18BE" w:rsidP="000F1EE9">
            <w:pPr>
              <w:spacing w:after="240" w:line="240" w:lineRule="auto"/>
              <w:jc w:val="both"/>
            </w:pPr>
            <w:r w:rsidRPr="001719D0">
              <w:t xml:space="preserve">The clinical team rely on the correct identification and documentation of patient details to identify and recall all eligible patients requiring immunisation. The data ensures that patients will be provided with </w:t>
            </w:r>
            <w:r w:rsidR="007527A6" w:rsidRPr="001719D0">
              <w:t>age-appropriate</w:t>
            </w:r>
            <w:r w:rsidRPr="001719D0">
              <w:t xml:space="preserve"> immunisations. Our practice uses texting and phone calls to recall our eligible population.</w:t>
            </w:r>
          </w:p>
          <w:p w14:paraId="0AE31EA1" w14:textId="4239229A" w:rsidR="002D18BE" w:rsidRPr="001719D0" w:rsidRDefault="002D18BE" w:rsidP="000F1EE9">
            <w:pPr>
              <w:spacing w:after="240" w:line="240" w:lineRule="auto"/>
              <w:jc w:val="both"/>
            </w:pPr>
            <w:r w:rsidRPr="001719D0">
              <w:t>The correct data provides the practice with the information required to improve immunisation coverage and prevent diseases that can cause serious complications.</w:t>
            </w:r>
          </w:p>
          <w:p w14:paraId="08D33C20" w14:textId="24F150A1" w:rsidR="002D18BE" w:rsidRPr="001719D0" w:rsidRDefault="002D18BE" w:rsidP="000F1EE9">
            <w:pPr>
              <w:spacing w:after="240" w:line="240" w:lineRule="auto"/>
              <w:jc w:val="both"/>
            </w:pPr>
            <w:r w:rsidRPr="001719D0">
              <w:t xml:space="preserve">The </w:t>
            </w:r>
            <w:r w:rsidR="00A06BF6">
              <w:t>p</w:t>
            </w:r>
            <w:r w:rsidRPr="001719D0">
              <w:t>ractice ensures that all their vaccinators meet the identified quality levels required to ensure that they can competently deliver safe and effective immunisation services.</w:t>
            </w:r>
          </w:p>
          <w:p w14:paraId="734540CC" w14:textId="39DE5175" w:rsidR="002D18BE" w:rsidRPr="001719D0" w:rsidRDefault="002D18BE" w:rsidP="000F1EE9">
            <w:pPr>
              <w:spacing w:after="240" w:line="240" w:lineRule="auto"/>
              <w:jc w:val="both"/>
            </w:pPr>
            <w:r w:rsidRPr="001719D0">
              <w:t>The clinical team ensures that they remain current with</w:t>
            </w:r>
            <w:r w:rsidR="004C26CC">
              <w:t xml:space="preserve"> Te Whatu </w:t>
            </w:r>
            <w:r w:rsidR="0045501F">
              <w:t>Ora (</w:t>
            </w:r>
            <w:r w:rsidR="004C26CC">
              <w:t xml:space="preserve">Health </w:t>
            </w:r>
            <w:r w:rsidR="0045501F">
              <w:t>NZ)</w:t>
            </w:r>
            <w:r w:rsidR="0045501F" w:rsidRPr="001719D0">
              <w:t xml:space="preserve"> </w:t>
            </w:r>
            <w:r w:rsidRPr="001719D0">
              <w:t>guidelines and standards to ensure that their population is provided with appropriate up to date information to enable them to make an informed choice.</w:t>
            </w:r>
          </w:p>
          <w:p w14:paraId="4EC00C48" w14:textId="0819C996" w:rsidR="002D18BE" w:rsidRPr="000F1EE9" w:rsidRDefault="002D18BE" w:rsidP="000F1EE9">
            <w:pPr>
              <w:spacing w:after="240" w:line="240" w:lineRule="auto"/>
              <w:jc w:val="both"/>
            </w:pPr>
            <w:r w:rsidRPr="001719D0">
              <w:t>The clinical team understands their responsibility as per</w:t>
            </w:r>
            <w:r w:rsidR="0045501F">
              <w:t xml:space="preserve"> </w:t>
            </w:r>
            <w:r w:rsidR="004C26CC">
              <w:t>Te Whatu Ora(Health NZ)</w:t>
            </w:r>
            <w:r w:rsidRPr="001719D0">
              <w:t xml:space="preserve"> </w:t>
            </w:r>
            <w:r w:rsidR="00A06BF6">
              <w:t xml:space="preserve"> </w:t>
            </w:r>
            <w:hyperlink r:id="rId12" w:history="1">
              <w:r w:rsidRPr="000E6100">
                <w:rPr>
                  <w:rStyle w:val="Hyperlink"/>
                  <w:i/>
                  <w:iCs/>
                </w:rPr>
                <w:t>Immunisation Handbook</w:t>
              </w:r>
            </w:hyperlink>
            <w:r w:rsidRPr="001719D0">
              <w:t xml:space="preserve"> in defining and reporting adverse events/serious reactions</w:t>
            </w:r>
            <w:r w:rsidR="00A06BF6">
              <w:t>,</w:t>
            </w:r>
            <w:r w:rsidRPr="001719D0">
              <w:t xml:space="preserve"> which significantly affect a patient’s management, including reactions that may have resulted in hospitalisation, danger to life, increased </w:t>
            </w:r>
            <w:r w:rsidR="007527A6" w:rsidRPr="001719D0">
              <w:t>investigation,</w:t>
            </w:r>
            <w:r w:rsidRPr="001719D0">
              <w:t xml:space="preserve"> or treatment costs.</w:t>
            </w:r>
          </w:p>
          <w:p w14:paraId="692DE6C1" w14:textId="75DD0FC8" w:rsidR="002D18BE" w:rsidRPr="001719D0" w:rsidRDefault="002D18BE" w:rsidP="000F1EE9">
            <w:pPr>
              <w:pStyle w:val="Default"/>
              <w:spacing w:after="240"/>
              <w:jc w:val="both"/>
              <w:rPr>
                <w:sz w:val="22"/>
                <w:szCs w:val="22"/>
              </w:rPr>
            </w:pPr>
            <w:r w:rsidRPr="001719D0">
              <w:rPr>
                <w:bCs/>
                <w:sz w:val="22"/>
                <w:szCs w:val="22"/>
              </w:rPr>
              <w:t xml:space="preserve">The clinical team regularly review immunisation recall activities to identify </w:t>
            </w:r>
            <w:r w:rsidR="00AB0D63" w:rsidRPr="001719D0">
              <w:rPr>
                <w:bCs/>
                <w:sz w:val="22"/>
                <w:szCs w:val="22"/>
              </w:rPr>
              <w:t>their</w:t>
            </w:r>
            <w:r w:rsidRPr="001719D0">
              <w:rPr>
                <w:bCs/>
                <w:sz w:val="22"/>
                <w:szCs w:val="22"/>
              </w:rPr>
              <w:t xml:space="preserve"> effectiveness in reaching the eligible target population</w:t>
            </w:r>
            <w:r w:rsidR="00AB0D63" w:rsidRPr="001719D0">
              <w:rPr>
                <w:bCs/>
                <w:sz w:val="22"/>
                <w:szCs w:val="22"/>
              </w:rPr>
              <w:t xml:space="preserve"> using an equity lens to ensure</w:t>
            </w:r>
            <w:r w:rsidR="00985B8E" w:rsidRPr="001719D0">
              <w:rPr>
                <w:bCs/>
                <w:sz w:val="22"/>
                <w:szCs w:val="22"/>
              </w:rPr>
              <w:t xml:space="preserve"> there is no gap </w:t>
            </w:r>
            <w:r w:rsidR="009C2820" w:rsidRPr="001719D0">
              <w:rPr>
                <w:bCs/>
                <w:sz w:val="22"/>
                <w:szCs w:val="22"/>
              </w:rPr>
              <w:t xml:space="preserve">in coverage </w:t>
            </w:r>
            <w:r w:rsidR="00985B8E" w:rsidRPr="001719D0">
              <w:rPr>
                <w:bCs/>
                <w:sz w:val="22"/>
                <w:szCs w:val="22"/>
              </w:rPr>
              <w:t xml:space="preserve">between the </w:t>
            </w:r>
            <w:r w:rsidR="009C2820" w:rsidRPr="001719D0">
              <w:rPr>
                <w:bCs/>
                <w:sz w:val="22"/>
                <w:szCs w:val="22"/>
              </w:rPr>
              <w:t>total population and</w:t>
            </w:r>
            <w:r w:rsidR="00AB0D63" w:rsidRPr="001719D0">
              <w:rPr>
                <w:bCs/>
                <w:sz w:val="22"/>
                <w:szCs w:val="22"/>
              </w:rPr>
              <w:t xml:space="preserve"> </w:t>
            </w:r>
            <w:r w:rsidR="00985B8E" w:rsidRPr="001719D0">
              <w:rPr>
                <w:bCs/>
                <w:sz w:val="22"/>
                <w:szCs w:val="22"/>
              </w:rPr>
              <w:t>tamariki Māori</w:t>
            </w:r>
            <w:r w:rsidR="009C2820" w:rsidRPr="001719D0">
              <w:rPr>
                <w:bCs/>
                <w:sz w:val="22"/>
                <w:szCs w:val="22"/>
              </w:rPr>
              <w:t>.</w:t>
            </w:r>
            <w:r w:rsidRPr="001719D0">
              <w:rPr>
                <w:bCs/>
                <w:sz w:val="22"/>
                <w:szCs w:val="22"/>
              </w:rPr>
              <w:t xml:space="preserve"> The review will identify gaps in service delivery and support the clinical team to formulate strategies that improve outcomes for the eligible population</w:t>
            </w:r>
            <w:r w:rsidR="009C2820" w:rsidRPr="001719D0">
              <w:rPr>
                <w:bCs/>
                <w:sz w:val="22"/>
                <w:szCs w:val="22"/>
              </w:rPr>
              <w:t xml:space="preserve">, particularly </w:t>
            </w:r>
            <w:proofErr w:type="spellStart"/>
            <w:r w:rsidR="009C2820" w:rsidRPr="001719D0">
              <w:rPr>
                <w:bCs/>
                <w:sz w:val="22"/>
                <w:szCs w:val="22"/>
              </w:rPr>
              <w:t>tamariki</w:t>
            </w:r>
            <w:proofErr w:type="spellEnd"/>
            <w:r w:rsidR="009C2820" w:rsidRPr="001719D0">
              <w:rPr>
                <w:bCs/>
                <w:sz w:val="22"/>
                <w:szCs w:val="22"/>
              </w:rPr>
              <w:t xml:space="preserve"> Māori.</w:t>
            </w:r>
          </w:p>
        </w:tc>
      </w:tr>
      <w:tr w:rsidR="00DC1C2F" w:rsidRPr="001719D0" w14:paraId="710AD09F" w14:textId="77777777" w:rsidTr="000F1EE9">
        <w:trPr>
          <w:trHeight w:val="4301"/>
        </w:trPr>
        <w:tc>
          <w:tcPr>
            <w:tcW w:w="786" w:type="pct"/>
          </w:tcPr>
          <w:p w14:paraId="77FFFC96" w14:textId="36314511" w:rsidR="00DC1C2F" w:rsidRPr="001719D0" w:rsidRDefault="00DC1C2F" w:rsidP="000C15C9">
            <w:pPr>
              <w:rPr>
                <w:rFonts w:ascii="Calibri" w:hAnsi="Calibri"/>
                <w:b/>
              </w:rPr>
            </w:pPr>
            <w:r w:rsidRPr="001719D0">
              <w:rPr>
                <w:rFonts w:ascii="Calibri" w:hAnsi="Calibri"/>
                <w:b/>
              </w:rPr>
              <w:lastRenderedPageBreak/>
              <w:t>Eligible population</w:t>
            </w:r>
          </w:p>
        </w:tc>
        <w:tc>
          <w:tcPr>
            <w:tcW w:w="4214" w:type="pct"/>
          </w:tcPr>
          <w:p w14:paraId="4182A5F9" w14:textId="074BC38E" w:rsidR="00A06BF6" w:rsidRPr="000F1EE9" w:rsidRDefault="00DC1C2F" w:rsidP="000F1EE9">
            <w:pPr>
              <w:pStyle w:val="Default"/>
              <w:spacing w:after="240"/>
              <w:jc w:val="both"/>
              <w:rPr>
                <w:sz w:val="22"/>
                <w:szCs w:val="22"/>
              </w:rPr>
            </w:pPr>
            <w:r w:rsidRPr="001719D0">
              <w:rPr>
                <w:sz w:val="22"/>
                <w:szCs w:val="22"/>
              </w:rPr>
              <w:t xml:space="preserve">The eligible population comprises all patients (both enrolled and casual) who are identified through the practice register as being eligible for </w:t>
            </w:r>
            <w:hyperlink r:id="rId13" w:history="1">
              <w:r w:rsidRPr="00AE6F9C">
                <w:rPr>
                  <w:rStyle w:val="Hyperlink"/>
                  <w:sz w:val="22"/>
                  <w:szCs w:val="22"/>
                </w:rPr>
                <w:t>National Immunisation Schedule</w:t>
              </w:r>
            </w:hyperlink>
            <w:r w:rsidRPr="001719D0">
              <w:rPr>
                <w:sz w:val="22"/>
                <w:szCs w:val="22"/>
              </w:rPr>
              <w:t xml:space="preserve"> vaccinations</w:t>
            </w:r>
            <w:r w:rsidR="00AE6F9C">
              <w:rPr>
                <w:sz w:val="22"/>
                <w:szCs w:val="22"/>
              </w:rPr>
              <w:t>,</w:t>
            </w:r>
            <w:r w:rsidR="007527A6" w:rsidRPr="001719D0">
              <w:rPr>
                <w:sz w:val="22"/>
                <w:szCs w:val="22"/>
              </w:rPr>
              <w:t xml:space="preserve"> </w:t>
            </w:r>
            <w:r w:rsidRPr="001719D0">
              <w:rPr>
                <w:sz w:val="22"/>
                <w:szCs w:val="22"/>
              </w:rPr>
              <w:t>including special groups who are eligible and funded for extra immunisations (</w:t>
            </w:r>
            <w:r w:rsidR="007B531B" w:rsidRPr="001719D0">
              <w:rPr>
                <w:sz w:val="22"/>
                <w:szCs w:val="22"/>
              </w:rPr>
              <w:t>e.g.,</w:t>
            </w:r>
            <w:r w:rsidRPr="001719D0">
              <w:rPr>
                <w:sz w:val="22"/>
                <w:szCs w:val="22"/>
              </w:rPr>
              <w:t xml:space="preserve"> splenectomy patients and transplant patients). </w:t>
            </w:r>
          </w:p>
          <w:p w14:paraId="6847C065" w14:textId="035DD35F" w:rsidR="008E3949" w:rsidRDefault="008E3949" w:rsidP="000F1EE9">
            <w:pPr>
              <w:spacing w:after="240" w:line="240" w:lineRule="auto"/>
              <w:jc w:val="both"/>
              <w:rPr>
                <w:b/>
                <w:bCs/>
              </w:rPr>
            </w:pPr>
            <w:r w:rsidRPr="001719D0">
              <w:rPr>
                <w:b/>
                <w:bCs/>
              </w:rPr>
              <w:t>COVID-19:</w:t>
            </w:r>
          </w:p>
          <w:p w14:paraId="57622F94" w14:textId="67947161" w:rsidR="002C370D" w:rsidRDefault="00AE6F9C" w:rsidP="000F1EE9">
            <w:pPr>
              <w:spacing w:after="240" w:line="240" w:lineRule="auto"/>
              <w:jc w:val="both"/>
            </w:pPr>
            <w:hyperlink r:id="rId14" w:history="1">
              <w:r w:rsidR="004E19B1" w:rsidRPr="00AE6F9C">
                <w:rPr>
                  <w:rStyle w:val="Hyperlink"/>
                </w:rPr>
                <w:t>C</w:t>
              </w:r>
              <w:r w:rsidRPr="00AE6F9C">
                <w:rPr>
                  <w:rStyle w:val="Hyperlink"/>
                </w:rPr>
                <w:t>oronavirus disease (COVID-19) | Te Whatu Ora</w:t>
              </w:r>
            </w:hyperlink>
          </w:p>
          <w:p w14:paraId="7BD3D496" w14:textId="5DA53DEF" w:rsidR="00954F94" w:rsidRPr="00C4293B" w:rsidRDefault="00954F94" w:rsidP="00954F94">
            <w:pPr>
              <w:shd w:val="clear" w:color="auto" w:fill="FDFFF6"/>
              <w:spacing w:before="100" w:beforeAutospacing="1" w:after="100" w:afterAutospacing="1" w:line="240" w:lineRule="auto"/>
              <w:outlineLvl w:val="1"/>
              <w:rPr>
                <w:rFonts w:eastAsia="Times New Roman" w:cstheme="minorHAnsi"/>
                <w:b/>
                <w:bCs/>
                <w:color w:val="000000" w:themeColor="text1"/>
                <w:lang w:eastAsia="en-NZ"/>
              </w:rPr>
            </w:pPr>
            <w:r w:rsidRPr="00C4293B">
              <w:rPr>
                <w:rFonts w:eastAsia="Times New Roman" w:cstheme="minorHAnsi"/>
                <w:b/>
                <w:bCs/>
                <w:color w:val="000000" w:themeColor="text1"/>
                <w:lang w:eastAsia="en-NZ"/>
              </w:rPr>
              <w:t>Funded vaccines for high-risk groups</w:t>
            </w:r>
            <w:r w:rsidR="000B3BD2">
              <w:rPr>
                <w:rFonts w:eastAsia="Times New Roman" w:cstheme="minorHAnsi"/>
                <w:b/>
                <w:bCs/>
                <w:color w:val="000000" w:themeColor="text1"/>
                <w:lang w:eastAsia="en-NZ"/>
              </w:rPr>
              <w:t>:</w:t>
            </w:r>
          </w:p>
          <w:p w14:paraId="64A263D0" w14:textId="57A32C61" w:rsidR="00954F94" w:rsidRDefault="00954F94" w:rsidP="00954F94">
            <w:pPr>
              <w:shd w:val="clear" w:color="auto" w:fill="FDFFF6"/>
              <w:spacing w:after="0" w:afterAutospacing="1" w:line="240" w:lineRule="auto"/>
              <w:rPr>
                <w:rFonts w:eastAsia="Times New Roman" w:cstheme="minorHAnsi"/>
                <w:color w:val="0000FF"/>
                <w:u w:val="single"/>
                <w:lang w:eastAsia="en-NZ"/>
              </w:rPr>
            </w:pPr>
            <w:r w:rsidRPr="00C4293B">
              <w:rPr>
                <w:rFonts w:eastAsia="Times New Roman" w:cstheme="minorHAnsi"/>
                <w:color w:val="000000" w:themeColor="text1"/>
                <w:lang w:eastAsia="en-NZ"/>
              </w:rPr>
              <w:t>Publicly funded hepatitis A, hepatitis B, haemophilus influenzae type b, human papillomavirus, influenza, meningococcal, pertussis (Tdap), pneumococcal, tuberculosis and varicella vaccines are available for children and adults at high risk of some diseases due to other medical conditions.</w:t>
            </w:r>
            <w:r w:rsidRPr="00C4293B">
              <w:rPr>
                <w:rFonts w:eastAsia="Times New Roman" w:cstheme="minorHAnsi"/>
                <w:color w:val="000000" w:themeColor="text1"/>
                <w:lang w:eastAsia="en-NZ"/>
              </w:rPr>
              <w:br/>
              <w:t>For more details see the </w:t>
            </w:r>
            <w:hyperlink r:id="rId15" w:history="1">
              <w:r w:rsidRPr="00954F94">
                <w:rPr>
                  <w:rFonts w:eastAsia="Times New Roman" w:cstheme="minorHAnsi"/>
                  <w:color w:val="0000FF"/>
                  <w:u w:val="single"/>
                  <w:lang w:eastAsia="en-NZ"/>
                </w:rPr>
                <w:t>Additional Funded vaccines for special groups</w:t>
              </w:r>
            </w:hyperlink>
            <w:r w:rsidRPr="00954F94">
              <w:rPr>
                <w:rFonts w:eastAsia="Times New Roman" w:cstheme="minorHAnsi"/>
                <w:i/>
                <w:iCs/>
                <w:color w:val="00558C"/>
                <w:lang w:eastAsia="en-NZ"/>
              </w:rPr>
              <w:t> </w:t>
            </w:r>
            <w:r w:rsidRPr="00C4293B">
              <w:rPr>
                <w:rFonts w:eastAsia="Times New Roman" w:cstheme="minorHAnsi"/>
                <w:color w:val="000000" w:themeColor="text1"/>
                <w:lang w:eastAsia="en-NZ"/>
              </w:rPr>
              <w:t>page of the</w:t>
            </w:r>
            <w:r w:rsidRPr="00954F94">
              <w:rPr>
                <w:rFonts w:eastAsia="Times New Roman" w:cstheme="minorHAnsi"/>
                <w:color w:val="00558C"/>
                <w:lang w:eastAsia="en-NZ"/>
              </w:rPr>
              <w:t> </w:t>
            </w:r>
            <w:hyperlink r:id="rId16" w:history="1">
              <w:r w:rsidRPr="00B678C7">
                <w:rPr>
                  <w:rFonts w:eastAsia="Times New Roman" w:cstheme="minorHAnsi"/>
                  <w:i/>
                  <w:iCs/>
                  <w:color w:val="0000FF"/>
                  <w:u w:val="single"/>
                  <w:lang w:eastAsia="en-NZ"/>
                </w:rPr>
                <w:t>Immunisation Handbook.</w:t>
              </w:r>
            </w:hyperlink>
          </w:p>
          <w:p w14:paraId="4EC84C1B" w14:textId="1BF9EA7B" w:rsidR="000B3BD2" w:rsidRPr="00725288" w:rsidRDefault="000B3BD2" w:rsidP="00954F94">
            <w:pPr>
              <w:shd w:val="clear" w:color="auto" w:fill="FDFFF6"/>
              <w:spacing w:after="0" w:afterAutospacing="1" w:line="240" w:lineRule="auto"/>
              <w:rPr>
                <w:rFonts w:eastAsia="Times New Roman" w:cstheme="minorHAnsi"/>
                <w:b/>
                <w:bCs/>
                <w:color w:val="000000" w:themeColor="text1"/>
                <w:lang w:eastAsia="en-NZ"/>
              </w:rPr>
            </w:pPr>
            <w:r w:rsidRPr="00725288">
              <w:rPr>
                <w:rFonts w:eastAsia="Times New Roman" w:cstheme="minorHAnsi"/>
                <w:b/>
                <w:bCs/>
                <w:color w:val="000000" w:themeColor="text1"/>
                <w:lang w:eastAsia="en-NZ"/>
              </w:rPr>
              <w:t>For further information:</w:t>
            </w:r>
          </w:p>
          <w:p w14:paraId="7CE1E831" w14:textId="31EA3B04" w:rsidR="00003373" w:rsidRPr="001719D0" w:rsidRDefault="00B5498D" w:rsidP="000F1EE9">
            <w:pPr>
              <w:pStyle w:val="ListParagraph"/>
              <w:numPr>
                <w:ilvl w:val="0"/>
                <w:numId w:val="26"/>
              </w:numPr>
              <w:spacing w:after="240" w:line="240" w:lineRule="auto"/>
              <w:rPr>
                <w:rFonts w:cstheme="minorHAnsi"/>
              </w:rPr>
            </w:pPr>
            <w:hyperlink r:id="rId17" w:history="1">
              <w:r w:rsidR="00003373" w:rsidRPr="002D4139">
                <w:rPr>
                  <w:rStyle w:val="Hyperlink"/>
                  <w:rFonts w:eastAsia="Nunito Sans" w:cstheme="minorHAnsi"/>
                </w:rPr>
                <w:t>Health P</w:t>
              </w:r>
              <w:bookmarkStart w:id="0" w:name="_Hlt172641459"/>
              <w:bookmarkStart w:id="1" w:name="_Hlt172641460"/>
              <w:r w:rsidR="00003373" w:rsidRPr="002D4139">
                <w:rPr>
                  <w:rStyle w:val="Hyperlink"/>
                  <w:rFonts w:eastAsia="Nunito Sans" w:cstheme="minorHAnsi"/>
                </w:rPr>
                <w:t>a</w:t>
              </w:r>
              <w:bookmarkEnd w:id="0"/>
              <w:bookmarkEnd w:id="1"/>
              <w:r w:rsidR="00003373" w:rsidRPr="002D4139">
                <w:rPr>
                  <w:rStyle w:val="Hyperlink"/>
                  <w:rFonts w:eastAsia="Nunito Sans" w:cstheme="minorHAnsi"/>
                </w:rPr>
                <w:t>thways</w:t>
              </w:r>
            </w:hyperlink>
            <w:r w:rsidR="00003373" w:rsidRPr="002D4139">
              <w:rPr>
                <w:rFonts w:eastAsia="Nunito Sans" w:cstheme="minorHAnsi"/>
              </w:rPr>
              <w:t xml:space="preserve"> </w:t>
            </w:r>
            <w:r w:rsidR="00003373" w:rsidRPr="001719D0">
              <w:rPr>
                <w:rFonts w:eastAsia="Nunito Sans" w:cstheme="minorHAnsi"/>
              </w:rPr>
              <w:t>for more details about the criteria and the vaccines available.</w:t>
            </w:r>
          </w:p>
          <w:p w14:paraId="3289F1B7" w14:textId="5D0FFC4B" w:rsidR="00003373" w:rsidRPr="001719D0" w:rsidRDefault="00003373" w:rsidP="000F1EE9">
            <w:pPr>
              <w:pStyle w:val="ListParagraph"/>
              <w:numPr>
                <w:ilvl w:val="0"/>
                <w:numId w:val="26"/>
              </w:numPr>
              <w:spacing w:after="240" w:line="240" w:lineRule="auto"/>
              <w:rPr>
                <w:rFonts w:cstheme="minorHAnsi"/>
              </w:rPr>
            </w:pPr>
            <w:r w:rsidRPr="001719D0">
              <w:rPr>
                <w:rFonts w:eastAsia="Nunito Sans" w:cstheme="minorHAnsi"/>
              </w:rPr>
              <w:t xml:space="preserve">The </w:t>
            </w:r>
            <w:hyperlink r:id="rId18">
              <w:r w:rsidRPr="00B319C0">
                <w:rPr>
                  <w:rStyle w:val="Hyperlink"/>
                  <w:rFonts w:eastAsia="Nunito Sans" w:cstheme="minorHAnsi"/>
                </w:rPr>
                <w:t>Immunisation Advisory Centre</w:t>
              </w:r>
            </w:hyperlink>
            <w:r w:rsidRPr="00B319C0">
              <w:rPr>
                <w:rFonts w:eastAsia="Nunito Sans" w:cstheme="minorHAnsi"/>
                <w:color w:val="0000FF"/>
              </w:rPr>
              <w:t xml:space="preserve"> </w:t>
            </w:r>
            <w:r w:rsidR="00746350" w:rsidRPr="00B319C0">
              <w:rPr>
                <w:rFonts w:eastAsia="Nunito Sans" w:cstheme="minorHAnsi"/>
                <w:color w:val="0000FF"/>
              </w:rPr>
              <w:t>(IMAC)</w:t>
            </w:r>
            <w:r w:rsidR="00746350">
              <w:rPr>
                <w:rFonts w:eastAsia="Nunito Sans" w:cstheme="minorHAnsi"/>
                <w:color w:val="4472C4" w:themeColor="accent1"/>
              </w:rPr>
              <w:t xml:space="preserve"> </w:t>
            </w:r>
            <w:r w:rsidRPr="001719D0">
              <w:rPr>
                <w:rFonts w:eastAsia="Nunito Sans" w:cstheme="minorHAnsi"/>
              </w:rPr>
              <w:t>can also be contacted for advice.</w:t>
            </w:r>
          </w:p>
        </w:tc>
      </w:tr>
      <w:tr w:rsidR="00F50854" w:rsidRPr="001719D0" w14:paraId="21C4DA64" w14:textId="77777777" w:rsidTr="000F1EE9">
        <w:tc>
          <w:tcPr>
            <w:tcW w:w="786" w:type="pct"/>
          </w:tcPr>
          <w:p w14:paraId="685D4664" w14:textId="0DEAAC52" w:rsidR="00F50854" w:rsidRPr="001719D0" w:rsidRDefault="00F50854" w:rsidP="00CD1583">
            <w:pPr>
              <w:spacing w:after="0"/>
              <w:rPr>
                <w:rFonts w:ascii="Calibri" w:hAnsi="Calibri"/>
                <w:b/>
              </w:rPr>
            </w:pPr>
            <w:r w:rsidRPr="001719D0">
              <w:rPr>
                <w:rFonts w:ascii="Calibri" w:hAnsi="Calibri"/>
                <w:b/>
              </w:rPr>
              <w:t>Equity approach</w:t>
            </w:r>
          </w:p>
        </w:tc>
        <w:tc>
          <w:tcPr>
            <w:tcW w:w="4214" w:type="pct"/>
          </w:tcPr>
          <w:p w14:paraId="60E63851" w14:textId="393BFFBA" w:rsidR="0065098F" w:rsidRDefault="00DE1B32" w:rsidP="000F1EE9">
            <w:pPr>
              <w:spacing w:after="240"/>
              <w:rPr>
                <w:lang w:val="en-US"/>
              </w:rPr>
            </w:pPr>
            <w:r>
              <w:rPr>
                <w:lang w:val="en-US"/>
              </w:rPr>
              <w:t xml:space="preserve">The practice will apply an equity lens to </w:t>
            </w:r>
            <w:r w:rsidR="00794A8A">
              <w:rPr>
                <w:lang w:val="en-US"/>
              </w:rPr>
              <w:t>immuni</w:t>
            </w:r>
            <w:r w:rsidR="0065098F">
              <w:rPr>
                <w:lang w:val="en-US"/>
              </w:rPr>
              <w:t>s</w:t>
            </w:r>
            <w:r w:rsidR="00794A8A">
              <w:rPr>
                <w:lang w:val="en-US"/>
              </w:rPr>
              <w:t>ation delivery</w:t>
            </w:r>
            <w:r>
              <w:rPr>
                <w:lang w:val="en-US"/>
              </w:rPr>
              <w:t xml:space="preserve">. </w:t>
            </w:r>
            <w:r w:rsidR="0065098F">
              <w:rPr>
                <w:lang w:val="en-US"/>
              </w:rPr>
              <w:t xml:space="preserve">Whānau </w:t>
            </w:r>
            <w:r>
              <w:rPr>
                <w:lang w:val="en-US"/>
              </w:rPr>
              <w:t>Māori and Pasifika will be prioritised. The practice will dedicate appropriately qualified member</w:t>
            </w:r>
            <w:r w:rsidR="00794A8A">
              <w:rPr>
                <w:lang w:val="en-US"/>
              </w:rPr>
              <w:t>s</w:t>
            </w:r>
            <w:r>
              <w:rPr>
                <w:lang w:val="en-US"/>
              </w:rPr>
              <w:t xml:space="preserve"> of staff</w:t>
            </w:r>
            <w:r w:rsidR="0065098F">
              <w:rPr>
                <w:lang w:val="en-US"/>
              </w:rPr>
              <w:t xml:space="preserve"> </w:t>
            </w:r>
            <w:r>
              <w:rPr>
                <w:lang w:val="en-US"/>
              </w:rPr>
              <w:t xml:space="preserve">who </w:t>
            </w:r>
            <w:r w:rsidR="00794A8A">
              <w:rPr>
                <w:lang w:val="en-US"/>
              </w:rPr>
              <w:t>are</w:t>
            </w:r>
            <w:r>
              <w:rPr>
                <w:lang w:val="en-US"/>
              </w:rPr>
              <w:t xml:space="preserve"> matched from ethnicity and/or language perspective</w:t>
            </w:r>
            <w:r w:rsidR="00794A8A">
              <w:rPr>
                <w:lang w:val="en-US"/>
              </w:rPr>
              <w:t>,</w:t>
            </w:r>
            <w:r>
              <w:rPr>
                <w:lang w:val="en-US"/>
              </w:rPr>
              <w:t xml:space="preserve"> to </w:t>
            </w:r>
            <w:r w:rsidR="00794A8A">
              <w:rPr>
                <w:lang w:val="en-US"/>
              </w:rPr>
              <w:t>contact</w:t>
            </w:r>
            <w:r>
              <w:rPr>
                <w:lang w:val="en-US"/>
              </w:rPr>
              <w:t xml:space="preserve"> </w:t>
            </w:r>
            <w:r w:rsidR="0065098F">
              <w:rPr>
                <w:lang w:val="en-US"/>
              </w:rPr>
              <w:t xml:space="preserve">whānau </w:t>
            </w:r>
            <w:r>
              <w:rPr>
                <w:lang w:val="en-US"/>
              </w:rPr>
              <w:t xml:space="preserve">Māori and Pasifika </w:t>
            </w:r>
            <w:r w:rsidR="0065098F">
              <w:rPr>
                <w:lang w:val="en-US"/>
              </w:rPr>
              <w:t xml:space="preserve">patients </w:t>
            </w:r>
            <w:r>
              <w:rPr>
                <w:lang w:val="en-US"/>
              </w:rPr>
              <w:t xml:space="preserve">to discuss the importance and benefits of immunisation and to address any concerns or barriers. </w:t>
            </w:r>
            <w:r w:rsidR="0065098F">
              <w:rPr>
                <w:lang w:val="en-US"/>
              </w:rPr>
              <w:t xml:space="preserve"> </w:t>
            </w:r>
            <w:r w:rsidR="00CD1583">
              <w:rPr>
                <w:lang w:val="en-US"/>
              </w:rPr>
              <w:t xml:space="preserve">The number of recalls </w:t>
            </w:r>
            <w:r w:rsidR="00794A8A">
              <w:rPr>
                <w:lang w:val="en-US"/>
              </w:rPr>
              <w:t xml:space="preserve">provided </w:t>
            </w:r>
            <w:r w:rsidR="00CD1583">
              <w:rPr>
                <w:lang w:val="en-US"/>
              </w:rPr>
              <w:t xml:space="preserve">for </w:t>
            </w:r>
            <w:r w:rsidR="0065098F">
              <w:rPr>
                <w:lang w:val="en-US"/>
              </w:rPr>
              <w:t xml:space="preserve">whānau </w:t>
            </w:r>
            <w:r w:rsidR="00CD1583">
              <w:rPr>
                <w:lang w:val="en-US"/>
              </w:rPr>
              <w:t xml:space="preserve">Māori and Pasifika </w:t>
            </w:r>
            <w:r w:rsidR="0065098F">
              <w:rPr>
                <w:lang w:val="en-US"/>
              </w:rPr>
              <w:t>families</w:t>
            </w:r>
            <w:r w:rsidR="00CD1583">
              <w:rPr>
                <w:lang w:val="en-US"/>
              </w:rPr>
              <w:t xml:space="preserve"> will be appropriately weighted against other ethnicities.</w:t>
            </w:r>
          </w:p>
          <w:p w14:paraId="7F86409B" w14:textId="48378C84" w:rsidR="00E90280" w:rsidRDefault="00E90280" w:rsidP="000F1EE9">
            <w:pPr>
              <w:spacing w:after="240"/>
              <w:rPr>
                <w:lang w:val="en-US"/>
              </w:rPr>
            </w:pPr>
            <w:hyperlink r:id="rId19" w:history="1">
              <w:r w:rsidRPr="00E90280">
                <w:rPr>
                  <w:rStyle w:val="Hyperlink"/>
                  <w:lang w:val="en-US"/>
                </w:rPr>
                <w:t xml:space="preserve">IMAC Factsheet - </w:t>
              </w:r>
              <w:r w:rsidRPr="00E90280">
                <w:rPr>
                  <w:rStyle w:val="Hyperlink"/>
                  <w:lang w:val="en-US"/>
                </w:rPr>
                <w:t xml:space="preserve">Equity and Best Practice </w:t>
              </w:r>
              <w:proofErr w:type="spellStart"/>
              <w:r w:rsidRPr="00E90280">
                <w:rPr>
                  <w:rStyle w:val="Hyperlink"/>
                  <w:lang w:val="en-US"/>
                </w:rPr>
                <w:t>immunisation</w:t>
              </w:r>
              <w:proofErr w:type="spellEnd"/>
            </w:hyperlink>
          </w:p>
          <w:p w14:paraId="2E1E06EC" w14:textId="3816DF9A" w:rsidR="00CD1583" w:rsidRDefault="00CD1583" w:rsidP="000F1EE9">
            <w:pPr>
              <w:spacing w:after="240"/>
              <w:rPr>
                <w:lang w:val="en-US"/>
              </w:rPr>
            </w:pPr>
            <w:r>
              <w:rPr>
                <w:lang w:val="en-US"/>
              </w:rPr>
              <w:t xml:space="preserve">Potential barriers to </w:t>
            </w:r>
            <w:proofErr w:type="spellStart"/>
            <w:r>
              <w:rPr>
                <w:lang w:val="en-US"/>
              </w:rPr>
              <w:t>immunisation</w:t>
            </w:r>
            <w:proofErr w:type="spellEnd"/>
            <w:r>
              <w:rPr>
                <w:lang w:val="en-US"/>
              </w:rPr>
              <w:t xml:space="preserve"> for </w:t>
            </w:r>
            <w:r w:rsidR="0065098F">
              <w:rPr>
                <w:lang w:val="en-US"/>
              </w:rPr>
              <w:t xml:space="preserve">whānau </w:t>
            </w:r>
            <w:r>
              <w:rPr>
                <w:lang w:val="en-US"/>
              </w:rPr>
              <w:t>Māori and Pasifika</w:t>
            </w:r>
            <w:r w:rsidR="0065098F">
              <w:rPr>
                <w:lang w:val="en-US"/>
              </w:rPr>
              <w:t xml:space="preserve"> patients</w:t>
            </w:r>
            <w:r>
              <w:rPr>
                <w:lang w:val="en-US"/>
              </w:rPr>
              <w:t xml:space="preserve"> will be addressed and mitigating strategies offered:</w:t>
            </w:r>
          </w:p>
          <w:p w14:paraId="49326E6E" w14:textId="47F7ECF7" w:rsidR="00CD1583" w:rsidRPr="00CD1583" w:rsidRDefault="00CD1583" w:rsidP="000F1EE9">
            <w:pPr>
              <w:pStyle w:val="ListParagraph"/>
              <w:numPr>
                <w:ilvl w:val="0"/>
                <w:numId w:val="33"/>
              </w:numPr>
              <w:spacing w:after="240"/>
              <w:rPr>
                <w:lang w:val="en-US"/>
              </w:rPr>
            </w:pPr>
            <w:r w:rsidRPr="003B4434">
              <w:rPr>
                <w:u w:val="single"/>
                <w:lang w:val="en-US"/>
              </w:rPr>
              <w:t>Transport</w:t>
            </w:r>
            <w:r w:rsidRPr="00CD1583">
              <w:rPr>
                <w:lang w:val="en-US"/>
              </w:rPr>
              <w:t xml:space="preserve"> – consider offering staff to transport wh</w:t>
            </w:r>
            <w:r w:rsidR="008D266F">
              <w:rPr>
                <w:lang w:val="en-US"/>
              </w:rPr>
              <w:t>ā</w:t>
            </w:r>
            <w:r w:rsidRPr="00CD1583">
              <w:rPr>
                <w:lang w:val="en-US"/>
              </w:rPr>
              <w:t xml:space="preserve">nau, using </w:t>
            </w:r>
            <w:r w:rsidR="0065098F">
              <w:rPr>
                <w:lang w:val="en-US"/>
              </w:rPr>
              <w:t>the funding from the Auckland PHO Discretionary Funding pool,</w:t>
            </w:r>
            <w:r w:rsidRPr="00CD1583">
              <w:rPr>
                <w:lang w:val="en-US"/>
              </w:rPr>
              <w:t xml:space="preserve"> offering petrol vouchers, St Johns Shuttle, </w:t>
            </w:r>
            <w:r w:rsidR="0065098F">
              <w:rPr>
                <w:lang w:val="en-US"/>
              </w:rPr>
              <w:t xml:space="preserve">and/or </w:t>
            </w:r>
            <w:r w:rsidRPr="00CD1583">
              <w:rPr>
                <w:lang w:val="en-US"/>
              </w:rPr>
              <w:t xml:space="preserve">early referral to outreach </w:t>
            </w:r>
          </w:p>
          <w:p w14:paraId="2EC35F35" w14:textId="29CAD5FD" w:rsidR="00CD1583" w:rsidRPr="00CD1583" w:rsidRDefault="00CD1583" w:rsidP="000F1EE9">
            <w:pPr>
              <w:pStyle w:val="ListParagraph"/>
              <w:numPr>
                <w:ilvl w:val="0"/>
                <w:numId w:val="33"/>
              </w:numPr>
              <w:spacing w:after="240"/>
              <w:rPr>
                <w:lang w:val="en-US"/>
              </w:rPr>
            </w:pPr>
            <w:r w:rsidRPr="003B4434">
              <w:rPr>
                <w:u w:val="single"/>
                <w:lang w:val="en-US"/>
              </w:rPr>
              <w:t>Housing/Mobility</w:t>
            </w:r>
            <w:r w:rsidRPr="00CD1583">
              <w:rPr>
                <w:lang w:val="en-US"/>
              </w:rPr>
              <w:t xml:space="preserve"> – </w:t>
            </w:r>
            <w:r w:rsidR="0065098F">
              <w:rPr>
                <w:lang w:val="en-US"/>
              </w:rPr>
              <w:t>confirm</w:t>
            </w:r>
            <w:r w:rsidRPr="00CD1583">
              <w:rPr>
                <w:lang w:val="en-US"/>
              </w:rPr>
              <w:t xml:space="preserve"> contact details at every contact,</w:t>
            </w:r>
            <w:r w:rsidR="0065098F">
              <w:rPr>
                <w:lang w:val="en-US"/>
              </w:rPr>
              <w:t xml:space="preserve"> including </w:t>
            </w:r>
            <w:r w:rsidRPr="00CD1583">
              <w:rPr>
                <w:lang w:val="en-US"/>
              </w:rPr>
              <w:t xml:space="preserve">email details, </w:t>
            </w:r>
            <w:r w:rsidR="0065098F">
              <w:rPr>
                <w:lang w:val="en-US"/>
              </w:rPr>
              <w:t xml:space="preserve">and a next of kin contact, who can be contacted if </w:t>
            </w:r>
            <w:r w:rsidR="00B708A3">
              <w:rPr>
                <w:lang w:val="en-US"/>
              </w:rPr>
              <w:t>the parent/caregiver unavailable</w:t>
            </w:r>
          </w:p>
          <w:p w14:paraId="16382140" w14:textId="77777777" w:rsidR="000F1EE9" w:rsidRDefault="00B708A3" w:rsidP="00422CD0">
            <w:pPr>
              <w:pStyle w:val="ListParagraph"/>
              <w:numPr>
                <w:ilvl w:val="0"/>
                <w:numId w:val="33"/>
              </w:numPr>
              <w:spacing w:after="240"/>
              <w:rPr>
                <w:lang w:val="en-US"/>
              </w:rPr>
            </w:pPr>
            <w:r w:rsidRPr="000F1EE9">
              <w:rPr>
                <w:u w:val="single"/>
                <w:lang w:val="en-US"/>
              </w:rPr>
              <w:t>Appointment Timing</w:t>
            </w:r>
            <w:r w:rsidR="00CD1583" w:rsidRPr="000F1EE9">
              <w:rPr>
                <w:lang w:val="en-US"/>
              </w:rPr>
              <w:t xml:space="preserve"> – offer immunisation</w:t>
            </w:r>
            <w:r w:rsidRPr="000F1EE9">
              <w:rPr>
                <w:lang w:val="en-US"/>
              </w:rPr>
              <w:t>s</w:t>
            </w:r>
            <w:r w:rsidR="00CD1583" w:rsidRPr="000F1EE9">
              <w:rPr>
                <w:lang w:val="en-US"/>
              </w:rPr>
              <w:t xml:space="preserve"> out of working day e.g., evening or weekend</w:t>
            </w:r>
            <w:r w:rsidRPr="000F1EE9">
              <w:rPr>
                <w:lang w:val="en-US"/>
              </w:rPr>
              <w:t xml:space="preserve">, and </w:t>
            </w:r>
            <w:r w:rsidR="00CD1583" w:rsidRPr="000F1EE9">
              <w:rPr>
                <w:lang w:val="en-US"/>
              </w:rPr>
              <w:t xml:space="preserve">Well Child clinics </w:t>
            </w:r>
          </w:p>
          <w:p w14:paraId="4BB74628" w14:textId="2BF452AD" w:rsidR="000F1EE9" w:rsidRDefault="00B708A3" w:rsidP="00E278DE">
            <w:pPr>
              <w:pStyle w:val="ListParagraph"/>
              <w:numPr>
                <w:ilvl w:val="0"/>
                <w:numId w:val="33"/>
              </w:numPr>
              <w:spacing w:after="240"/>
              <w:rPr>
                <w:lang w:val="en-US"/>
              </w:rPr>
            </w:pPr>
            <w:r w:rsidRPr="000F1EE9">
              <w:rPr>
                <w:u w:val="single"/>
                <w:lang w:val="en-US"/>
              </w:rPr>
              <w:t>Implicit Bias/</w:t>
            </w:r>
            <w:r w:rsidR="00CD1583" w:rsidRPr="000F1EE9">
              <w:rPr>
                <w:u w:val="single"/>
                <w:lang w:val="en-US"/>
              </w:rPr>
              <w:t>Racism</w:t>
            </w:r>
            <w:r w:rsidR="00CD1583" w:rsidRPr="000F1EE9">
              <w:rPr>
                <w:lang w:val="en-US"/>
              </w:rPr>
              <w:t xml:space="preserve"> – immunisation services that are holistic and listen to the concerns of </w:t>
            </w:r>
            <w:r w:rsidR="00165C0D" w:rsidRPr="000F1EE9">
              <w:rPr>
                <w:lang w:val="en-US"/>
              </w:rPr>
              <w:t>whānau,</w:t>
            </w:r>
            <w:r w:rsidRPr="000F1EE9">
              <w:rPr>
                <w:lang w:val="en-US"/>
              </w:rPr>
              <w:t xml:space="preserve"> </w:t>
            </w:r>
            <w:r w:rsidR="00CD1583" w:rsidRPr="000F1EE9">
              <w:rPr>
                <w:lang w:val="en-US"/>
              </w:rPr>
              <w:t xml:space="preserve">trained staff who </w:t>
            </w:r>
            <w:r w:rsidRPr="000F1EE9">
              <w:rPr>
                <w:lang w:val="en-US"/>
              </w:rPr>
              <w:t xml:space="preserve">whānau can identify </w:t>
            </w:r>
            <w:r w:rsidR="00F021CB" w:rsidRPr="000F1EE9">
              <w:rPr>
                <w:lang w:val="en-US"/>
              </w:rPr>
              <w:t>with,</w:t>
            </w:r>
            <w:r w:rsidR="00CD1583" w:rsidRPr="000F1EE9">
              <w:rPr>
                <w:lang w:val="en-US"/>
              </w:rPr>
              <w:t xml:space="preserve"> staff trained in cultural safety and Māori models of care </w:t>
            </w:r>
          </w:p>
          <w:p w14:paraId="229E204A" w14:textId="77777777" w:rsidR="000F1EE9" w:rsidRDefault="00CD1583" w:rsidP="000F1EE9">
            <w:pPr>
              <w:pStyle w:val="ListParagraph"/>
              <w:numPr>
                <w:ilvl w:val="0"/>
                <w:numId w:val="33"/>
              </w:numPr>
              <w:spacing w:after="240"/>
              <w:rPr>
                <w:lang w:val="en-US"/>
              </w:rPr>
            </w:pPr>
            <w:r w:rsidRPr="000F1EE9">
              <w:rPr>
                <w:u w:val="single"/>
                <w:lang w:val="en-US"/>
              </w:rPr>
              <w:t>Cost</w:t>
            </w:r>
            <w:r w:rsidRPr="000F1EE9">
              <w:rPr>
                <w:lang w:val="en-US"/>
              </w:rPr>
              <w:t xml:space="preserve"> – immunisation</w:t>
            </w:r>
            <w:r w:rsidR="003600D3" w:rsidRPr="000F1EE9">
              <w:rPr>
                <w:lang w:val="en-US"/>
              </w:rPr>
              <w:t>s</w:t>
            </w:r>
            <w:r w:rsidRPr="000F1EE9">
              <w:rPr>
                <w:lang w:val="en-US"/>
              </w:rPr>
              <w:t xml:space="preserve"> offered without any requirement for </w:t>
            </w:r>
            <w:r w:rsidR="003600D3" w:rsidRPr="000F1EE9">
              <w:rPr>
                <w:lang w:val="en-US"/>
              </w:rPr>
              <w:t>outstanding debts</w:t>
            </w:r>
            <w:r w:rsidRPr="000F1EE9">
              <w:rPr>
                <w:lang w:val="en-US"/>
              </w:rPr>
              <w:t xml:space="preserve"> to be paid</w:t>
            </w:r>
          </w:p>
          <w:p w14:paraId="5D625E34" w14:textId="60EEF95C" w:rsidR="002F3A8F" w:rsidRPr="007A623E" w:rsidRDefault="00CD1583" w:rsidP="007A623E">
            <w:pPr>
              <w:pStyle w:val="ListParagraph"/>
              <w:numPr>
                <w:ilvl w:val="0"/>
                <w:numId w:val="33"/>
              </w:numPr>
              <w:spacing w:after="240"/>
              <w:rPr>
                <w:lang w:val="en-US"/>
              </w:rPr>
            </w:pPr>
            <w:r w:rsidRPr="000F1EE9">
              <w:rPr>
                <w:u w:val="single"/>
                <w:lang w:val="en-US"/>
              </w:rPr>
              <w:t xml:space="preserve">Enrolment </w:t>
            </w:r>
            <w:r w:rsidRPr="000F1EE9">
              <w:rPr>
                <w:lang w:val="en-US"/>
              </w:rPr>
              <w:t xml:space="preserve">– Babies are eligible to be enrolled if under 18 years and in the care of a parent/ legal guardian who is eligible to be enrolled – do not delay enrolment until a birth certificate is presented. </w:t>
            </w:r>
          </w:p>
        </w:tc>
      </w:tr>
      <w:tr w:rsidR="004733E3" w:rsidRPr="001719D0" w14:paraId="5A7DE44C" w14:textId="77777777" w:rsidTr="000F1EE9">
        <w:tc>
          <w:tcPr>
            <w:tcW w:w="786" w:type="pct"/>
          </w:tcPr>
          <w:p w14:paraId="63A7B13E" w14:textId="5D1ABAA5" w:rsidR="004733E3" w:rsidRPr="001719D0" w:rsidRDefault="004733E3" w:rsidP="000C15C9">
            <w:pPr>
              <w:rPr>
                <w:rFonts w:ascii="Calibri" w:hAnsi="Calibri"/>
                <w:b/>
              </w:rPr>
            </w:pPr>
            <w:r w:rsidRPr="001719D0">
              <w:rPr>
                <w:rFonts w:ascii="Calibri" w:hAnsi="Calibri"/>
                <w:b/>
              </w:rPr>
              <w:lastRenderedPageBreak/>
              <w:t>Vaccinators</w:t>
            </w:r>
          </w:p>
        </w:tc>
        <w:tc>
          <w:tcPr>
            <w:tcW w:w="4214" w:type="pct"/>
          </w:tcPr>
          <w:p w14:paraId="1A567644" w14:textId="582896BF" w:rsidR="004733E3" w:rsidRPr="001719D0" w:rsidRDefault="004733E3" w:rsidP="000F1EE9">
            <w:pPr>
              <w:spacing w:after="240" w:line="240" w:lineRule="auto"/>
              <w:jc w:val="both"/>
            </w:pPr>
            <w:r w:rsidRPr="001719D0">
              <w:t xml:space="preserve">All vaccinators </w:t>
            </w:r>
            <w:r w:rsidR="00613487">
              <w:t xml:space="preserve">can </w:t>
            </w:r>
            <w:r w:rsidRPr="001719D0">
              <w:t>demonstrate:</w:t>
            </w:r>
          </w:p>
          <w:p w14:paraId="0203C75A" w14:textId="1B78078F" w:rsidR="004733E3" w:rsidRPr="001719D0" w:rsidRDefault="004733E3" w:rsidP="000F1EE9">
            <w:pPr>
              <w:pStyle w:val="ListParagraph"/>
              <w:numPr>
                <w:ilvl w:val="0"/>
                <w:numId w:val="10"/>
              </w:numPr>
              <w:spacing w:after="240" w:line="240" w:lineRule="auto"/>
              <w:jc w:val="both"/>
            </w:pPr>
            <w:r w:rsidRPr="001719D0">
              <w:t>They are competent in all aspects of the immunisation technique and have the appropriate knowledge and skills for the task</w:t>
            </w:r>
            <w:r w:rsidR="007527A6" w:rsidRPr="001719D0">
              <w:t>.</w:t>
            </w:r>
          </w:p>
          <w:p w14:paraId="66038775" w14:textId="3420691E" w:rsidR="004733E3" w:rsidRPr="001719D0" w:rsidRDefault="00613487" w:rsidP="000F1EE9">
            <w:pPr>
              <w:pStyle w:val="ListParagraph"/>
              <w:numPr>
                <w:ilvl w:val="0"/>
                <w:numId w:val="10"/>
              </w:numPr>
              <w:spacing w:after="240" w:line="240" w:lineRule="auto"/>
              <w:jc w:val="both"/>
            </w:pPr>
            <w:r>
              <w:t>They can</w:t>
            </w:r>
            <w:r w:rsidR="004733E3" w:rsidRPr="001719D0">
              <w:t xml:space="preserve"> obtain informed consent to immunise.</w:t>
            </w:r>
          </w:p>
          <w:p w14:paraId="30708373" w14:textId="5958CB5A" w:rsidR="004733E3" w:rsidRPr="001719D0" w:rsidRDefault="00613487" w:rsidP="000F1EE9">
            <w:pPr>
              <w:pStyle w:val="ListParagraph"/>
              <w:numPr>
                <w:ilvl w:val="0"/>
                <w:numId w:val="10"/>
              </w:numPr>
              <w:spacing w:after="240" w:line="240" w:lineRule="auto"/>
              <w:jc w:val="both"/>
            </w:pPr>
            <w:r>
              <w:t>They can</w:t>
            </w:r>
            <w:r w:rsidRPr="001719D0">
              <w:t xml:space="preserve"> </w:t>
            </w:r>
            <w:r w:rsidR="004733E3" w:rsidRPr="001719D0">
              <w:t>maintain patient confidentiality</w:t>
            </w:r>
            <w:r w:rsidR="007527A6" w:rsidRPr="001719D0">
              <w:t>.</w:t>
            </w:r>
          </w:p>
          <w:p w14:paraId="676FAB7E" w14:textId="177D6E39" w:rsidR="004733E3" w:rsidRPr="001719D0" w:rsidRDefault="00613487" w:rsidP="000F1EE9">
            <w:pPr>
              <w:pStyle w:val="ListParagraph"/>
              <w:numPr>
                <w:ilvl w:val="0"/>
                <w:numId w:val="10"/>
              </w:numPr>
              <w:spacing w:after="240" w:line="240" w:lineRule="auto"/>
              <w:jc w:val="both"/>
            </w:pPr>
            <w:r>
              <w:t>They can</w:t>
            </w:r>
            <w:r w:rsidRPr="001719D0">
              <w:t xml:space="preserve"> </w:t>
            </w:r>
            <w:r w:rsidR="004733E3" w:rsidRPr="001719D0">
              <w:t>document information on the vaccine administered.</w:t>
            </w:r>
          </w:p>
          <w:p w14:paraId="4212DD03" w14:textId="4CD106A6" w:rsidR="004733E3" w:rsidRPr="001719D0" w:rsidRDefault="00613487" w:rsidP="000F1EE9">
            <w:pPr>
              <w:pStyle w:val="ListParagraph"/>
              <w:numPr>
                <w:ilvl w:val="0"/>
                <w:numId w:val="10"/>
              </w:numPr>
              <w:spacing w:after="240" w:line="240" w:lineRule="auto"/>
              <w:jc w:val="both"/>
            </w:pPr>
            <w:r>
              <w:t>They can</w:t>
            </w:r>
            <w:r w:rsidRPr="001719D0">
              <w:t xml:space="preserve"> </w:t>
            </w:r>
            <w:r w:rsidR="004733E3" w:rsidRPr="001719D0">
              <w:t>administer all vaccines doses for which the patient is due at each visit</w:t>
            </w:r>
            <w:r w:rsidR="007527A6" w:rsidRPr="001719D0">
              <w:t>.</w:t>
            </w:r>
          </w:p>
          <w:p w14:paraId="68B58691" w14:textId="2E8C927E" w:rsidR="004733E3" w:rsidRPr="001719D0" w:rsidRDefault="00613487" w:rsidP="000F1EE9">
            <w:pPr>
              <w:pStyle w:val="ListParagraph"/>
              <w:numPr>
                <w:ilvl w:val="0"/>
                <w:numId w:val="10"/>
              </w:numPr>
              <w:spacing w:after="240" w:line="240" w:lineRule="auto"/>
              <w:jc w:val="both"/>
            </w:pPr>
            <w:r>
              <w:t>They can</w:t>
            </w:r>
            <w:r w:rsidRPr="001719D0">
              <w:t xml:space="preserve"> </w:t>
            </w:r>
            <w:r w:rsidR="004733E3" w:rsidRPr="001719D0">
              <w:t>document the outcome of any discussion that has taken place and the reason that the patient/ parent/ caregiver provides for not being ready to immunise.</w:t>
            </w:r>
          </w:p>
          <w:p w14:paraId="16F857A6" w14:textId="6AD2C985" w:rsidR="004733E3" w:rsidRPr="001719D0" w:rsidRDefault="00613487" w:rsidP="000F1EE9">
            <w:pPr>
              <w:pStyle w:val="ListParagraph"/>
              <w:numPr>
                <w:ilvl w:val="0"/>
                <w:numId w:val="10"/>
              </w:numPr>
              <w:spacing w:after="240" w:line="240" w:lineRule="auto"/>
              <w:jc w:val="both"/>
            </w:pPr>
            <w:r>
              <w:t>They can</w:t>
            </w:r>
            <w:r w:rsidRPr="001719D0">
              <w:t xml:space="preserve"> </w:t>
            </w:r>
            <w:r w:rsidR="004733E3" w:rsidRPr="001719D0">
              <w:t>identify contraindications prior to sending recalls to their patients.</w:t>
            </w:r>
          </w:p>
          <w:p w14:paraId="334789CA" w14:textId="56BE8A4F" w:rsidR="004733E3" w:rsidRPr="001719D0" w:rsidRDefault="00613487" w:rsidP="000F1EE9">
            <w:pPr>
              <w:pStyle w:val="ListParagraph"/>
              <w:numPr>
                <w:ilvl w:val="0"/>
                <w:numId w:val="10"/>
              </w:numPr>
              <w:spacing w:after="240" w:line="240" w:lineRule="auto"/>
              <w:jc w:val="both"/>
            </w:pPr>
            <w:r>
              <w:t>They can</w:t>
            </w:r>
            <w:r w:rsidRPr="001719D0">
              <w:t xml:space="preserve"> </w:t>
            </w:r>
            <w:r w:rsidR="004733E3" w:rsidRPr="001719D0">
              <w:t xml:space="preserve">report adverse events following vaccination promptly, </w:t>
            </w:r>
            <w:r w:rsidR="007527A6" w:rsidRPr="001719D0">
              <w:t>accurately,</w:t>
            </w:r>
            <w:r w:rsidR="004733E3" w:rsidRPr="001719D0">
              <w:t xml:space="preserve"> and completely.</w:t>
            </w:r>
          </w:p>
        </w:tc>
      </w:tr>
      <w:tr w:rsidR="002D18BE" w:rsidRPr="001719D0" w14:paraId="4973271C" w14:textId="77777777" w:rsidTr="000F1EE9">
        <w:tc>
          <w:tcPr>
            <w:tcW w:w="786" w:type="pct"/>
          </w:tcPr>
          <w:p w14:paraId="4E93A281" w14:textId="10B1FC99" w:rsidR="002D18BE" w:rsidRPr="001719D0" w:rsidRDefault="002D18BE" w:rsidP="000C15C9">
            <w:pPr>
              <w:rPr>
                <w:rFonts w:ascii="Calibri" w:hAnsi="Calibri"/>
                <w:b/>
              </w:rPr>
            </w:pPr>
            <w:r w:rsidRPr="001719D0">
              <w:rPr>
                <w:rFonts w:ascii="Calibri" w:hAnsi="Calibri"/>
                <w:b/>
              </w:rPr>
              <w:t>Informed consent</w:t>
            </w:r>
          </w:p>
        </w:tc>
        <w:tc>
          <w:tcPr>
            <w:tcW w:w="4214" w:type="pct"/>
          </w:tcPr>
          <w:p w14:paraId="5DBC0D55" w14:textId="27496D6F" w:rsidR="00746350" w:rsidRDefault="002D18BE" w:rsidP="000F1EE9">
            <w:pPr>
              <w:pStyle w:val="Default"/>
              <w:spacing w:after="240"/>
              <w:jc w:val="both"/>
              <w:rPr>
                <w:sz w:val="22"/>
                <w:szCs w:val="22"/>
              </w:rPr>
            </w:pPr>
            <w:r w:rsidRPr="001719D0">
              <w:rPr>
                <w:sz w:val="22"/>
                <w:szCs w:val="22"/>
              </w:rPr>
              <w:t xml:space="preserve">Consent is </w:t>
            </w:r>
            <w:r w:rsidR="00613487">
              <w:rPr>
                <w:sz w:val="22"/>
                <w:szCs w:val="22"/>
              </w:rPr>
              <w:t>a</w:t>
            </w:r>
            <w:r w:rsidRPr="001719D0">
              <w:rPr>
                <w:sz w:val="22"/>
                <w:szCs w:val="22"/>
              </w:rPr>
              <w:t xml:space="preserve"> process whereby the patient or caregiver is provided with the evidence-based information needed for them to make an informed decision about accepting or declining immunisation(s), without coercion. </w:t>
            </w:r>
          </w:p>
          <w:p w14:paraId="64808EC7" w14:textId="46F7F7CB" w:rsidR="00746350" w:rsidRDefault="002D18BE" w:rsidP="000F1EE9">
            <w:pPr>
              <w:pStyle w:val="Default"/>
              <w:spacing w:after="240"/>
              <w:jc w:val="both"/>
              <w:rPr>
                <w:sz w:val="22"/>
                <w:szCs w:val="22"/>
              </w:rPr>
            </w:pPr>
            <w:r w:rsidRPr="001719D0">
              <w:rPr>
                <w:sz w:val="22"/>
                <w:szCs w:val="22"/>
              </w:rPr>
              <w:t xml:space="preserve">The practice allows sufficient time for a comprehensive discussion between the patient / caregiver and the vaccinator. This includes the caregiver </w:t>
            </w:r>
            <w:r w:rsidR="00613487">
              <w:rPr>
                <w:sz w:val="22"/>
                <w:szCs w:val="22"/>
              </w:rPr>
              <w:t xml:space="preserve">demonstrating an understanding </w:t>
            </w:r>
            <w:r w:rsidRPr="001719D0">
              <w:rPr>
                <w:sz w:val="22"/>
                <w:szCs w:val="22"/>
              </w:rPr>
              <w:t xml:space="preserve">that they have a choice as to whether immunisation is provided; the reason(s) for immunisation; what is expected around vaccine administration; the risks, </w:t>
            </w:r>
            <w:r w:rsidR="007527A6" w:rsidRPr="001719D0">
              <w:rPr>
                <w:sz w:val="22"/>
                <w:szCs w:val="22"/>
              </w:rPr>
              <w:t>benefits,</w:t>
            </w:r>
            <w:r w:rsidRPr="001719D0">
              <w:rPr>
                <w:sz w:val="22"/>
                <w:szCs w:val="22"/>
              </w:rPr>
              <w:t xml:space="preserve"> and side effects of vaccination; and the consequences of declining immunisation(s). </w:t>
            </w:r>
          </w:p>
          <w:p w14:paraId="13BD3A11" w14:textId="31E9F0A0" w:rsidR="00746350" w:rsidRDefault="003600D3" w:rsidP="000F1EE9">
            <w:pPr>
              <w:pStyle w:val="Default"/>
              <w:spacing w:after="240"/>
              <w:jc w:val="both"/>
              <w:rPr>
                <w:sz w:val="22"/>
                <w:szCs w:val="22"/>
              </w:rPr>
            </w:pPr>
            <w:r>
              <w:rPr>
                <w:sz w:val="22"/>
                <w:szCs w:val="22"/>
              </w:rPr>
              <w:t xml:space="preserve">Active listening and effective </w:t>
            </w:r>
            <w:r w:rsidR="002D18BE" w:rsidRPr="001719D0">
              <w:rPr>
                <w:sz w:val="22"/>
                <w:szCs w:val="22"/>
              </w:rPr>
              <w:t xml:space="preserve">communication skills are required so that the content and delivery of the information is appropriate. </w:t>
            </w:r>
          </w:p>
          <w:p w14:paraId="308D35E1" w14:textId="76C107B5" w:rsidR="00746350" w:rsidRDefault="002D18BE" w:rsidP="000F1EE9">
            <w:pPr>
              <w:pStyle w:val="Default"/>
              <w:spacing w:after="240"/>
              <w:jc w:val="both"/>
              <w:rPr>
                <w:sz w:val="22"/>
                <w:szCs w:val="22"/>
              </w:rPr>
            </w:pPr>
            <w:r w:rsidRPr="001719D0">
              <w:rPr>
                <w:sz w:val="22"/>
                <w:szCs w:val="22"/>
              </w:rPr>
              <w:t xml:space="preserve">Consent is required for every vaccination episode and dose. </w:t>
            </w:r>
          </w:p>
          <w:p w14:paraId="4C124647" w14:textId="51B8417D" w:rsidR="00746350" w:rsidRDefault="002D18BE" w:rsidP="000F1EE9">
            <w:pPr>
              <w:pStyle w:val="Default"/>
              <w:spacing w:after="240"/>
              <w:jc w:val="both"/>
              <w:rPr>
                <w:sz w:val="22"/>
                <w:szCs w:val="22"/>
              </w:rPr>
            </w:pPr>
            <w:r w:rsidRPr="001719D0">
              <w:rPr>
                <w:sz w:val="22"/>
                <w:szCs w:val="22"/>
              </w:rPr>
              <w:t xml:space="preserve">Consent does not need to be </w:t>
            </w:r>
            <w:r w:rsidR="00404423">
              <w:rPr>
                <w:sz w:val="22"/>
                <w:szCs w:val="22"/>
              </w:rPr>
              <w:t>given in writing</w:t>
            </w:r>
            <w:r w:rsidRPr="001719D0">
              <w:rPr>
                <w:sz w:val="22"/>
                <w:szCs w:val="22"/>
              </w:rPr>
              <w:t xml:space="preserve">, but the patient’s record must contain documentation as to what was </w:t>
            </w:r>
            <w:r w:rsidR="004B2EA1" w:rsidRPr="001719D0">
              <w:rPr>
                <w:sz w:val="22"/>
                <w:szCs w:val="22"/>
              </w:rPr>
              <w:t>discussed,</w:t>
            </w:r>
            <w:r w:rsidRPr="001719D0">
              <w:rPr>
                <w:sz w:val="22"/>
                <w:szCs w:val="22"/>
              </w:rPr>
              <w:t xml:space="preserve"> and it must be documented that consent </w:t>
            </w:r>
            <w:r w:rsidR="00404423">
              <w:rPr>
                <w:sz w:val="22"/>
                <w:szCs w:val="22"/>
              </w:rPr>
              <w:t>was</w:t>
            </w:r>
            <w:r w:rsidRPr="001719D0">
              <w:rPr>
                <w:sz w:val="22"/>
                <w:szCs w:val="22"/>
              </w:rPr>
              <w:t xml:space="preserve"> obtained and </w:t>
            </w:r>
            <w:r w:rsidR="00404423">
              <w:rPr>
                <w:sz w:val="22"/>
                <w:szCs w:val="22"/>
              </w:rPr>
              <w:t>by</w:t>
            </w:r>
            <w:r w:rsidRPr="001719D0">
              <w:rPr>
                <w:sz w:val="22"/>
                <w:szCs w:val="22"/>
              </w:rPr>
              <w:t xml:space="preserve"> whom. </w:t>
            </w:r>
            <w:r w:rsidR="00404423">
              <w:rPr>
                <w:sz w:val="22"/>
                <w:szCs w:val="22"/>
              </w:rPr>
              <w:t xml:space="preserve">An </w:t>
            </w:r>
            <w:r w:rsidR="00DE69CB" w:rsidRPr="001719D0">
              <w:rPr>
                <w:sz w:val="22"/>
                <w:szCs w:val="22"/>
              </w:rPr>
              <w:t xml:space="preserve">IMAC pre-vaccination screening tool </w:t>
            </w:r>
            <w:r w:rsidR="00404423">
              <w:rPr>
                <w:sz w:val="22"/>
                <w:szCs w:val="22"/>
              </w:rPr>
              <w:t xml:space="preserve">is </w:t>
            </w:r>
            <w:hyperlink r:id="rId20" w:history="1">
              <w:r w:rsidR="00404423" w:rsidRPr="00227DA7">
                <w:rPr>
                  <w:rStyle w:val="Hyperlink"/>
                  <w:sz w:val="22"/>
                  <w:szCs w:val="22"/>
                </w:rPr>
                <w:t>here</w:t>
              </w:r>
              <w:r w:rsidR="00613487" w:rsidRPr="00227DA7">
                <w:rPr>
                  <w:rStyle w:val="Hyperlink"/>
                  <w:sz w:val="22"/>
                  <w:szCs w:val="22"/>
                </w:rPr>
                <w:t>.</w:t>
              </w:r>
            </w:hyperlink>
          </w:p>
          <w:p w14:paraId="4C3C81BE" w14:textId="6557B357" w:rsidR="00404423" w:rsidRDefault="002D18BE" w:rsidP="000F1EE9">
            <w:pPr>
              <w:pStyle w:val="Default"/>
              <w:spacing w:after="240"/>
              <w:jc w:val="both"/>
              <w:rPr>
                <w:sz w:val="22"/>
                <w:szCs w:val="22"/>
              </w:rPr>
            </w:pPr>
            <w:r w:rsidRPr="001719D0">
              <w:rPr>
                <w:sz w:val="22"/>
                <w:szCs w:val="22"/>
              </w:rPr>
              <w:t xml:space="preserve">The vaccinator provides/uses appropriate written educational material. </w:t>
            </w:r>
          </w:p>
          <w:p w14:paraId="10CDFD17" w14:textId="13C2A704" w:rsidR="002D18BE" w:rsidRPr="001719D0" w:rsidRDefault="002D18BE" w:rsidP="000F1EE9">
            <w:pPr>
              <w:pStyle w:val="Default"/>
              <w:spacing w:after="240"/>
              <w:jc w:val="both"/>
              <w:rPr>
                <w:sz w:val="22"/>
                <w:szCs w:val="22"/>
              </w:rPr>
            </w:pPr>
            <w:r w:rsidRPr="001719D0">
              <w:rPr>
                <w:sz w:val="22"/>
                <w:szCs w:val="22"/>
              </w:rPr>
              <w:t xml:space="preserve">In general, consent for a child under 16 years of age is obtained from a parent or legal guardian; however, a child under this age </w:t>
            </w:r>
            <w:r w:rsidR="00BA1905" w:rsidRPr="001719D0">
              <w:rPr>
                <w:sz w:val="22"/>
                <w:szCs w:val="22"/>
              </w:rPr>
              <w:t>can</w:t>
            </w:r>
            <w:r w:rsidRPr="001719D0">
              <w:rPr>
                <w:sz w:val="22"/>
                <w:szCs w:val="22"/>
              </w:rPr>
              <w:t xml:space="preserve"> give consent if </w:t>
            </w:r>
            <w:r w:rsidR="00613487">
              <w:rPr>
                <w:sz w:val="22"/>
                <w:szCs w:val="22"/>
              </w:rPr>
              <w:t>they</w:t>
            </w:r>
            <w:r w:rsidRPr="001719D0">
              <w:rPr>
                <w:sz w:val="22"/>
                <w:szCs w:val="22"/>
              </w:rPr>
              <w:t xml:space="preserve"> understand the information provided as outlined above</w:t>
            </w:r>
            <w:r w:rsidR="006D4DB1" w:rsidRPr="001719D0">
              <w:rPr>
                <w:sz w:val="22"/>
                <w:szCs w:val="22"/>
              </w:rPr>
              <w:t xml:space="preserve"> in the clinician’s opinion.</w:t>
            </w:r>
          </w:p>
        </w:tc>
      </w:tr>
      <w:tr w:rsidR="00786B48" w:rsidRPr="001719D0" w14:paraId="0D2132E9" w14:textId="77777777" w:rsidTr="000F1EE9">
        <w:tc>
          <w:tcPr>
            <w:tcW w:w="786" w:type="pct"/>
          </w:tcPr>
          <w:p w14:paraId="57273B7C" w14:textId="23192FA6" w:rsidR="00786B48" w:rsidRPr="001719D0" w:rsidRDefault="00786B48" w:rsidP="000C15C9">
            <w:pPr>
              <w:rPr>
                <w:rFonts w:ascii="Calibri" w:hAnsi="Calibri"/>
                <w:b/>
              </w:rPr>
            </w:pPr>
            <w:r w:rsidRPr="001719D0">
              <w:rPr>
                <w:rFonts w:ascii="Calibri" w:hAnsi="Calibri"/>
                <w:b/>
              </w:rPr>
              <w:t>Caregivers declining vaccination</w:t>
            </w:r>
          </w:p>
        </w:tc>
        <w:tc>
          <w:tcPr>
            <w:tcW w:w="4214" w:type="pct"/>
          </w:tcPr>
          <w:p w14:paraId="60408CC9" w14:textId="7087F18F" w:rsidR="00404423" w:rsidRDefault="00404423" w:rsidP="000F1EE9">
            <w:pPr>
              <w:pStyle w:val="Default"/>
              <w:spacing w:after="240"/>
              <w:jc w:val="both"/>
              <w:rPr>
                <w:sz w:val="22"/>
                <w:szCs w:val="22"/>
              </w:rPr>
            </w:pPr>
            <w:r>
              <w:rPr>
                <w:sz w:val="22"/>
                <w:szCs w:val="22"/>
              </w:rPr>
              <w:t>Declining a vaccination</w:t>
            </w:r>
            <w:r w:rsidR="00786B48" w:rsidRPr="001719D0">
              <w:rPr>
                <w:sz w:val="22"/>
                <w:szCs w:val="22"/>
              </w:rPr>
              <w:t xml:space="preserve"> </w:t>
            </w:r>
            <w:r>
              <w:rPr>
                <w:sz w:val="22"/>
                <w:szCs w:val="22"/>
              </w:rPr>
              <w:t>may occur</w:t>
            </w:r>
            <w:r w:rsidR="00786B48" w:rsidRPr="001719D0">
              <w:rPr>
                <w:sz w:val="22"/>
                <w:szCs w:val="22"/>
              </w:rPr>
              <w:t xml:space="preserve"> following the exchange of information as part of the informed consent process. </w:t>
            </w:r>
          </w:p>
          <w:p w14:paraId="6C0AB3B6" w14:textId="2A4AFCCD" w:rsidR="00404423" w:rsidRDefault="00786B48" w:rsidP="000F1EE9">
            <w:pPr>
              <w:pStyle w:val="Default"/>
              <w:spacing w:after="240"/>
              <w:jc w:val="both"/>
              <w:rPr>
                <w:sz w:val="22"/>
                <w:szCs w:val="22"/>
              </w:rPr>
            </w:pPr>
            <w:r w:rsidRPr="001719D0">
              <w:rPr>
                <w:sz w:val="22"/>
                <w:szCs w:val="22"/>
              </w:rPr>
              <w:t xml:space="preserve">The vaccinator is expected to follow a ‘Decline Immunisations’ process, which includes </w:t>
            </w:r>
            <w:r w:rsidR="0085758B" w:rsidRPr="001719D0">
              <w:rPr>
                <w:sz w:val="22"/>
                <w:szCs w:val="22"/>
              </w:rPr>
              <w:t xml:space="preserve">documenting </w:t>
            </w:r>
            <w:r w:rsidRPr="001719D0">
              <w:rPr>
                <w:sz w:val="22"/>
                <w:szCs w:val="22"/>
              </w:rPr>
              <w:t>the content of the informed consent discussion and the decision</w:t>
            </w:r>
            <w:r w:rsidR="00404423">
              <w:rPr>
                <w:sz w:val="22"/>
                <w:szCs w:val="22"/>
              </w:rPr>
              <w:t xml:space="preserve"> </w:t>
            </w:r>
            <w:r w:rsidR="00404423" w:rsidRPr="001719D0">
              <w:rPr>
                <w:sz w:val="22"/>
                <w:szCs w:val="22"/>
              </w:rPr>
              <w:t>in the patient’s record</w:t>
            </w:r>
            <w:r w:rsidRPr="001719D0">
              <w:rPr>
                <w:sz w:val="22"/>
                <w:szCs w:val="22"/>
              </w:rPr>
              <w:t>. Written information that outlines the consequences of declining immunisation should be provided</w:t>
            </w:r>
            <w:r w:rsidR="00404423">
              <w:rPr>
                <w:sz w:val="22"/>
                <w:szCs w:val="22"/>
              </w:rPr>
              <w:t xml:space="preserve"> to the patient/caregiver</w:t>
            </w:r>
            <w:r w:rsidRPr="001719D0">
              <w:rPr>
                <w:sz w:val="22"/>
                <w:szCs w:val="22"/>
              </w:rPr>
              <w:t xml:space="preserve">. </w:t>
            </w:r>
          </w:p>
          <w:p w14:paraId="37A3F774" w14:textId="0B42096A" w:rsidR="00404423" w:rsidRDefault="00786B48" w:rsidP="000F1EE9">
            <w:pPr>
              <w:pStyle w:val="Default"/>
              <w:spacing w:after="240"/>
              <w:jc w:val="both"/>
              <w:rPr>
                <w:sz w:val="22"/>
                <w:szCs w:val="22"/>
              </w:rPr>
            </w:pPr>
            <w:r w:rsidRPr="001719D0">
              <w:rPr>
                <w:sz w:val="22"/>
                <w:szCs w:val="22"/>
              </w:rPr>
              <w:t xml:space="preserve">The vaccinator types the word </w:t>
            </w:r>
            <w:r w:rsidRPr="001719D0">
              <w:rPr>
                <w:i/>
                <w:iCs/>
                <w:sz w:val="22"/>
                <w:szCs w:val="22"/>
              </w:rPr>
              <w:t xml:space="preserve">Declined </w:t>
            </w:r>
            <w:r w:rsidRPr="001719D0">
              <w:rPr>
                <w:sz w:val="22"/>
                <w:szCs w:val="22"/>
              </w:rPr>
              <w:t xml:space="preserve">in the </w:t>
            </w:r>
            <w:r w:rsidRPr="001719D0">
              <w:rPr>
                <w:i/>
                <w:iCs/>
                <w:sz w:val="22"/>
                <w:szCs w:val="22"/>
              </w:rPr>
              <w:t xml:space="preserve">Outcome </w:t>
            </w:r>
            <w:r w:rsidRPr="001719D0">
              <w:rPr>
                <w:sz w:val="22"/>
                <w:szCs w:val="22"/>
              </w:rPr>
              <w:t xml:space="preserve">field of the </w:t>
            </w:r>
            <w:r w:rsidRPr="001719D0">
              <w:rPr>
                <w:i/>
                <w:iCs/>
                <w:sz w:val="22"/>
                <w:szCs w:val="22"/>
              </w:rPr>
              <w:t xml:space="preserve">Immunisation </w:t>
            </w:r>
            <w:r w:rsidRPr="001719D0">
              <w:rPr>
                <w:sz w:val="22"/>
                <w:szCs w:val="22"/>
              </w:rPr>
              <w:t xml:space="preserve">screen for all declined vaccinations. This </w:t>
            </w:r>
            <w:r w:rsidR="00A71182" w:rsidRPr="001719D0">
              <w:rPr>
                <w:sz w:val="22"/>
                <w:szCs w:val="22"/>
              </w:rPr>
              <w:t>can</w:t>
            </w:r>
            <w:r w:rsidR="00404423">
              <w:rPr>
                <w:sz w:val="22"/>
                <w:szCs w:val="22"/>
              </w:rPr>
              <w:t xml:space="preserve"> be </w:t>
            </w:r>
            <w:r w:rsidRPr="001719D0">
              <w:rPr>
                <w:sz w:val="22"/>
                <w:szCs w:val="22"/>
              </w:rPr>
              <w:t xml:space="preserve">amended if there is a change of mind on the part of the caregiver or the patient. </w:t>
            </w:r>
          </w:p>
          <w:p w14:paraId="790A8137" w14:textId="054882F7" w:rsidR="00404423" w:rsidRDefault="00786B48" w:rsidP="000F1EE9">
            <w:pPr>
              <w:pStyle w:val="Default"/>
              <w:spacing w:after="240"/>
              <w:jc w:val="both"/>
              <w:rPr>
                <w:sz w:val="22"/>
                <w:szCs w:val="22"/>
              </w:rPr>
            </w:pPr>
            <w:r w:rsidRPr="001719D0">
              <w:rPr>
                <w:sz w:val="22"/>
                <w:szCs w:val="22"/>
              </w:rPr>
              <w:t xml:space="preserve">The decision to decline immunisation is revisited </w:t>
            </w:r>
            <w:r w:rsidR="00404423">
              <w:rPr>
                <w:sz w:val="22"/>
                <w:szCs w:val="22"/>
              </w:rPr>
              <w:t xml:space="preserve">with the patient/caregiver </w:t>
            </w:r>
            <w:r w:rsidRPr="001719D0">
              <w:rPr>
                <w:sz w:val="22"/>
                <w:szCs w:val="22"/>
              </w:rPr>
              <w:t xml:space="preserve">when appropriate in future contacts. </w:t>
            </w:r>
          </w:p>
          <w:p w14:paraId="1721F784" w14:textId="526A0038" w:rsidR="00786B48" w:rsidRPr="001719D0" w:rsidRDefault="00786B48" w:rsidP="000F1EE9">
            <w:pPr>
              <w:pStyle w:val="Default"/>
              <w:spacing w:after="240"/>
              <w:jc w:val="both"/>
              <w:rPr>
                <w:sz w:val="22"/>
                <w:szCs w:val="22"/>
              </w:rPr>
            </w:pPr>
            <w:r w:rsidRPr="001719D0">
              <w:rPr>
                <w:sz w:val="22"/>
                <w:szCs w:val="22"/>
              </w:rPr>
              <w:lastRenderedPageBreak/>
              <w:t xml:space="preserve">The </w:t>
            </w:r>
            <w:r w:rsidR="00404423">
              <w:rPr>
                <w:sz w:val="22"/>
                <w:szCs w:val="22"/>
              </w:rPr>
              <w:t>patient/</w:t>
            </w:r>
            <w:r w:rsidRPr="001719D0">
              <w:rPr>
                <w:sz w:val="22"/>
                <w:szCs w:val="22"/>
              </w:rPr>
              <w:t xml:space="preserve">caregiver is advised that reminders and recalls will continue to be offered when future immunisation events are due, at every future contact with a health professional or in the event of a disease outbreak. </w:t>
            </w:r>
          </w:p>
        </w:tc>
      </w:tr>
      <w:tr w:rsidR="00786B48" w:rsidRPr="001719D0" w14:paraId="2505837C" w14:textId="77777777" w:rsidTr="000F1EE9">
        <w:tc>
          <w:tcPr>
            <w:tcW w:w="786" w:type="pct"/>
          </w:tcPr>
          <w:p w14:paraId="28D4FD21" w14:textId="745313C2" w:rsidR="00786B48" w:rsidRPr="001719D0" w:rsidRDefault="00786B48" w:rsidP="000C15C9">
            <w:pPr>
              <w:rPr>
                <w:rFonts w:ascii="Calibri" w:hAnsi="Calibri"/>
                <w:b/>
              </w:rPr>
            </w:pPr>
            <w:r w:rsidRPr="001719D0">
              <w:rPr>
                <w:rFonts w:ascii="Calibri" w:hAnsi="Calibri"/>
                <w:b/>
              </w:rPr>
              <w:lastRenderedPageBreak/>
              <w:t>Vaccine administration</w:t>
            </w:r>
          </w:p>
        </w:tc>
        <w:tc>
          <w:tcPr>
            <w:tcW w:w="4214" w:type="pct"/>
          </w:tcPr>
          <w:p w14:paraId="0DFFAFBC" w14:textId="334658EF" w:rsidR="00367623" w:rsidRPr="001719D0" w:rsidRDefault="00786B48" w:rsidP="000F1EE9">
            <w:pPr>
              <w:pStyle w:val="Default"/>
              <w:spacing w:after="240"/>
              <w:jc w:val="both"/>
              <w:rPr>
                <w:sz w:val="22"/>
                <w:szCs w:val="22"/>
              </w:rPr>
            </w:pPr>
            <w:r w:rsidRPr="001719D0">
              <w:rPr>
                <w:sz w:val="22"/>
                <w:szCs w:val="22"/>
              </w:rPr>
              <w:t xml:space="preserve">The vaccinator provides immunisation(s) according to the immunisation standards and requirements in the current </w:t>
            </w:r>
            <w:hyperlink r:id="rId21" w:history="1">
              <w:r w:rsidRPr="00CB7D62">
                <w:rPr>
                  <w:rStyle w:val="Hyperlink"/>
                  <w:i/>
                  <w:iCs/>
                  <w:sz w:val="22"/>
                  <w:szCs w:val="22"/>
                </w:rPr>
                <w:t>Immunisation Handbook</w:t>
              </w:r>
              <w:r w:rsidR="00CB7D62" w:rsidRPr="00CB7D62">
                <w:rPr>
                  <w:rStyle w:val="Hyperlink"/>
                  <w:i/>
                  <w:iCs/>
                  <w:sz w:val="22"/>
                  <w:szCs w:val="22"/>
                </w:rPr>
                <w:t>.</w:t>
              </w:r>
            </w:hyperlink>
          </w:p>
        </w:tc>
      </w:tr>
      <w:tr w:rsidR="00003373" w:rsidRPr="001719D0" w14:paraId="2366889E" w14:textId="77777777" w:rsidTr="000F1EE9">
        <w:tc>
          <w:tcPr>
            <w:tcW w:w="786" w:type="pct"/>
          </w:tcPr>
          <w:p w14:paraId="3C2ECB88" w14:textId="2F90B40A" w:rsidR="00003373" w:rsidRPr="001719D0" w:rsidRDefault="00003373" w:rsidP="000C15C9">
            <w:pPr>
              <w:rPr>
                <w:rFonts w:ascii="Calibri" w:hAnsi="Calibri"/>
                <w:b/>
              </w:rPr>
            </w:pPr>
            <w:r w:rsidRPr="001719D0">
              <w:rPr>
                <w:rFonts w:ascii="Calibri" w:hAnsi="Calibri"/>
                <w:b/>
              </w:rPr>
              <w:t>Pre-vaccination</w:t>
            </w:r>
          </w:p>
        </w:tc>
        <w:tc>
          <w:tcPr>
            <w:tcW w:w="4214" w:type="pct"/>
          </w:tcPr>
          <w:p w14:paraId="509D13C1" w14:textId="494F2FAF" w:rsidR="00003373" w:rsidRPr="001719D0" w:rsidRDefault="00003373" w:rsidP="000F1EE9">
            <w:pPr>
              <w:autoSpaceDE w:val="0"/>
              <w:autoSpaceDN w:val="0"/>
              <w:adjustRightInd w:val="0"/>
              <w:spacing w:after="240" w:line="240" w:lineRule="auto"/>
              <w:rPr>
                <w:rFonts w:cstheme="minorHAnsi"/>
              </w:rPr>
            </w:pPr>
            <w:r w:rsidRPr="001719D0">
              <w:rPr>
                <w:rFonts w:cstheme="minorHAnsi"/>
                <w:lang w:val="mi-NZ"/>
              </w:rPr>
              <w:t xml:space="preserve">For more information refer to the </w:t>
            </w:r>
            <w:r w:rsidR="00B5498D">
              <w:fldChar w:fldCharType="begin"/>
            </w:r>
            <w:r w:rsidR="00B5498D">
              <w:instrText>HYPERLINK "https://www.health.govt.nz/our-work/immunisation-handbook-2020/3-vaccination-questions-and-addressing-concerns"</w:instrText>
            </w:r>
            <w:r w:rsidR="00B5498D">
              <w:fldChar w:fldCharType="separate"/>
            </w:r>
            <w:r w:rsidR="00D0488F" w:rsidRPr="00D0488F">
              <w:rPr>
                <w:rStyle w:val="Hyperlink"/>
                <w:rFonts w:cstheme="minorHAnsi"/>
                <w:i/>
                <w:iCs/>
                <w:lang w:val="mi-NZ"/>
              </w:rPr>
              <w:t>I</w:t>
            </w:r>
            <w:r w:rsidRPr="00D0488F">
              <w:rPr>
                <w:rStyle w:val="Hyperlink"/>
                <w:rFonts w:cstheme="minorHAnsi"/>
                <w:i/>
                <w:iCs/>
                <w:lang w:val="mi-NZ"/>
              </w:rPr>
              <w:t xml:space="preserve">mmunisation </w:t>
            </w:r>
            <w:r w:rsidR="00D0488F" w:rsidRPr="00D0488F">
              <w:rPr>
                <w:rStyle w:val="Hyperlink"/>
                <w:rFonts w:cstheme="minorHAnsi"/>
                <w:i/>
                <w:iCs/>
                <w:lang w:val="mi-NZ"/>
              </w:rPr>
              <w:t>H</w:t>
            </w:r>
            <w:r w:rsidRPr="00D0488F">
              <w:rPr>
                <w:rStyle w:val="Hyperlink"/>
                <w:rFonts w:cstheme="minorHAnsi"/>
                <w:i/>
                <w:iCs/>
                <w:lang w:val="mi-NZ"/>
              </w:rPr>
              <w:t>andbook</w:t>
            </w:r>
            <w:r w:rsidR="00B5498D">
              <w:rPr>
                <w:rStyle w:val="Hyperlink"/>
                <w:rFonts w:cstheme="minorHAnsi"/>
                <w:i/>
                <w:iCs/>
                <w:lang w:val="mi-NZ"/>
              </w:rPr>
              <w:fldChar w:fldCharType="end"/>
            </w:r>
            <w:r w:rsidR="00B27DE3">
              <w:rPr>
                <w:rFonts w:cstheme="minorHAnsi"/>
                <w:lang w:val="mi-NZ"/>
              </w:rPr>
              <w:t>:</w:t>
            </w:r>
            <w:r w:rsidRPr="001719D0">
              <w:rPr>
                <w:rFonts w:cstheme="minorHAnsi"/>
              </w:rPr>
              <w:t xml:space="preserve"> </w:t>
            </w:r>
          </w:p>
          <w:p w14:paraId="51FD2E84" w14:textId="40DBF766" w:rsidR="000F1EE9" w:rsidRDefault="00003373" w:rsidP="000F1EE9">
            <w:pPr>
              <w:pStyle w:val="ListParagraph"/>
              <w:numPr>
                <w:ilvl w:val="0"/>
                <w:numId w:val="10"/>
              </w:numPr>
              <w:autoSpaceDE w:val="0"/>
              <w:autoSpaceDN w:val="0"/>
              <w:adjustRightInd w:val="0"/>
              <w:spacing w:after="240" w:line="240" w:lineRule="auto"/>
              <w:rPr>
                <w:rFonts w:cstheme="minorHAnsi"/>
              </w:rPr>
            </w:pPr>
            <w:r w:rsidRPr="001719D0">
              <w:rPr>
                <w:rFonts w:cstheme="minorHAnsi"/>
              </w:rPr>
              <w:t>Run a “status query” via the PMS</w:t>
            </w:r>
            <w:r w:rsidR="0088436A">
              <w:rPr>
                <w:rFonts w:cstheme="minorHAnsi"/>
              </w:rPr>
              <w:t>.</w:t>
            </w:r>
          </w:p>
          <w:p w14:paraId="20B4A0D3" w14:textId="69D6717A" w:rsidR="000F1EE9" w:rsidRDefault="00003373" w:rsidP="000F1EE9">
            <w:pPr>
              <w:pStyle w:val="ListParagraph"/>
              <w:numPr>
                <w:ilvl w:val="0"/>
                <w:numId w:val="10"/>
              </w:numPr>
              <w:autoSpaceDE w:val="0"/>
              <w:autoSpaceDN w:val="0"/>
              <w:adjustRightInd w:val="0"/>
              <w:spacing w:after="240" w:line="240" w:lineRule="auto"/>
              <w:rPr>
                <w:rFonts w:cstheme="minorHAnsi"/>
              </w:rPr>
            </w:pPr>
            <w:r w:rsidRPr="000F1EE9">
              <w:rPr>
                <w:rFonts w:cstheme="minorHAnsi"/>
              </w:rPr>
              <w:t xml:space="preserve">Obtain consent for the vaccination event and for the information to be held on the </w:t>
            </w:r>
            <w:r w:rsidR="00644805">
              <w:rPr>
                <w:rFonts w:cstheme="minorHAnsi"/>
              </w:rPr>
              <w:t>Aotearoa Immunisation Register</w:t>
            </w:r>
            <w:r w:rsidR="00E808EC" w:rsidRPr="000F1EE9">
              <w:rPr>
                <w:rFonts w:cstheme="minorHAnsi"/>
              </w:rPr>
              <w:t xml:space="preserve"> (</w:t>
            </w:r>
            <w:r w:rsidR="00644805">
              <w:rPr>
                <w:rFonts w:cstheme="minorHAnsi"/>
              </w:rPr>
              <w:t>A</w:t>
            </w:r>
            <w:r w:rsidRPr="000F1EE9">
              <w:rPr>
                <w:rFonts w:cstheme="minorHAnsi"/>
              </w:rPr>
              <w:t>IR</w:t>
            </w:r>
            <w:r w:rsidR="00E808EC" w:rsidRPr="000F1EE9">
              <w:rPr>
                <w:rFonts w:cstheme="minorHAnsi"/>
              </w:rPr>
              <w:t>)</w:t>
            </w:r>
            <w:r w:rsidR="0088436A">
              <w:rPr>
                <w:rFonts w:cstheme="minorHAnsi"/>
              </w:rPr>
              <w:t>.</w:t>
            </w:r>
          </w:p>
          <w:p w14:paraId="3D089871" w14:textId="53603075" w:rsidR="00BE0128" w:rsidRPr="000F1EE9" w:rsidRDefault="00003373" w:rsidP="000F1EE9">
            <w:pPr>
              <w:pStyle w:val="ListParagraph"/>
              <w:numPr>
                <w:ilvl w:val="0"/>
                <w:numId w:val="10"/>
              </w:numPr>
              <w:autoSpaceDE w:val="0"/>
              <w:autoSpaceDN w:val="0"/>
              <w:adjustRightInd w:val="0"/>
              <w:spacing w:after="240" w:line="240" w:lineRule="auto"/>
              <w:rPr>
                <w:rFonts w:cstheme="minorHAnsi"/>
              </w:rPr>
            </w:pPr>
            <w:r w:rsidRPr="000F1EE9">
              <w:rPr>
                <w:rFonts w:cstheme="minorHAnsi"/>
              </w:rPr>
              <w:t xml:space="preserve">Advise of 20 min wait </w:t>
            </w:r>
            <w:r w:rsidR="004B2EA1" w:rsidRPr="000F1EE9">
              <w:rPr>
                <w:rFonts w:cstheme="minorHAnsi"/>
              </w:rPr>
              <w:t>follow</w:t>
            </w:r>
            <w:r w:rsidRPr="000F1EE9">
              <w:rPr>
                <w:rFonts w:cstheme="minorHAnsi"/>
              </w:rPr>
              <w:t xml:space="preserve"> the immunisation</w:t>
            </w:r>
            <w:r w:rsidR="0088436A">
              <w:rPr>
                <w:rFonts w:cstheme="minorHAnsi"/>
              </w:rPr>
              <w:t>.</w:t>
            </w:r>
          </w:p>
          <w:p w14:paraId="49BCB16F" w14:textId="1A3220B6" w:rsidR="00BE0128" w:rsidRPr="001719D0" w:rsidRDefault="00BE0128" w:rsidP="000F1EE9">
            <w:pPr>
              <w:autoSpaceDE w:val="0"/>
              <w:autoSpaceDN w:val="0"/>
              <w:adjustRightInd w:val="0"/>
              <w:spacing w:after="240" w:line="240" w:lineRule="auto"/>
              <w:rPr>
                <w:rFonts w:cstheme="minorHAnsi"/>
                <w:lang w:val="mi-NZ"/>
              </w:rPr>
            </w:pPr>
            <w:r w:rsidRPr="001719D0">
              <w:rPr>
                <w:rFonts w:cstheme="minorHAnsi"/>
                <w:lang w:val="mi-NZ"/>
              </w:rPr>
              <w:t>Ensure that an appropriate emergency kit is readily available; near where vaccines are given - for more information refer to the immunisation handbook</w:t>
            </w:r>
          </w:p>
          <w:p w14:paraId="5461DFE2" w14:textId="77777777" w:rsidR="000F1EE9" w:rsidRDefault="00BE0128" w:rsidP="000F1EE9">
            <w:pPr>
              <w:pStyle w:val="Default"/>
              <w:numPr>
                <w:ilvl w:val="0"/>
                <w:numId w:val="10"/>
              </w:numPr>
              <w:rPr>
                <w:rFonts w:asciiTheme="minorHAnsi" w:hAnsiTheme="minorHAnsi" w:cstheme="minorHAnsi"/>
                <w:color w:val="auto"/>
                <w:sz w:val="22"/>
                <w:szCs w:val="22"/>
              </w:rPr>
            </w:pPr>
            <w:r w:rsidRPr="001719D0">
              <w:rPr>
                <w:rFonts w:asciiTheme="minorHAnsi" w:hAnsiTheme="minorHAnsi" w:cstheme="minorHAnsi"/>
                <w:color w:val="auto"/>
                <w:sz w:val="22"/>
                <w:szCs w:val="22"/>
              </w:rPr>
              <w:t xml:space="preserve">Adrenaline 1:1000 (min 3 ampoules) and dosage chart </w:t>
            </w:r>
          </w:p>
          <w:p w14:paraId="16A0B1F8" w14:textId="2AAD45F7" w:rsidR="00BE0128" w:rsidRPr="000F1EE9" w:rsidRDefault="00BE0128" w:rsidP="000F1EE9">
            <w:pPr>
              <w:pStyle w:val="Default"/>
              <w:numPr>
                <w:ilvl w:val="0"/>
                <w:numId w:val="10"/>
              </w:numPr>
              <w:rPr>
                <w:rFonts w:asciiTheme="minorHAnsi" w:hAnsiTheme="minorHAnsi" w:cstheme="minorHAnsi"/>
                <w:color w:val="auto"/>
                <w:sz w:val="22"/>
                <w:szCs w:val="22"/>
              </w:rPr>
            </w:pPr>
            <w:r w:rsidRPr="000F1EE9">
              <w:rPr>
                <w:rFonts w:asciiTheme="minorHAnsi" w:hAnsiTheme="minorHAnsi" w:cstheme="minorHAnsi"/>
                <w:color w:val="auto"/>
                <w:sz w:val="22"/>
                <w:szCs w:val="22"/>
              </w:rPr>
              <w:t xml:space="preserve">Syringes: 1.0mL (minimum of 6 tuberculin syringes) </w:t>
            </w:r>
          </w:p>
          <w:p w14:paraId="2DD83669" w14:textId="4FFC3487" w:rsidR="00BE0128" w:rsidRPr="001719D0" w:rsidRDefault="00BE0128" w:rsidP="000F1EE9">
            <w:pPr>
              <w:pStyle w:val="Default"/>
              <w:numPr>
                <w:ilvl w:val="0"/>
                <w:numId w:val="10"/>
              </w:numPr>
              <w:rPr>
                <w:rFonts w:asciiTheme="minorHAnsi" w:hAnsiTheme="minorHAnsi" w:cstheme="minorHAnsi"/>
                <w:color w:val="auto"/>
                <w:sz w:val="22"/>
                <w:szCs w:val="22"/>
              </w:rPr>
            </w:pPr>
            <w:r w:rsidRPr="001719D0">
              <w:rPr>
                <w:rFonts w:asciiTheme="minorHAnsi" w:hAnsiTheme="minorHAnsi" w:cstheme="minorHAnsi"/>
                <w:color w:val="auto"/>
                <w:sz w:val="22"/>
                <w:szCs w:val="22"/>
              </w:rPr>
              <w:t xml:space="preserve">Needles: a range of needle lengths and gauges, including 23G or 25G x 25mm, 22G x 38mm </w:t>
            </w:r>
          </w:p>
          <w:p w14:paraId="5AAC2047" w14:textId="15D1F108" w:rsidR="00BE0128" w:rsidRPr="001719D0" w:rsidRDefault="00BE0128" w:rsidP="000F1EE9">
            <w:pPr>
              <w:pStyle w:val="Default"/>
              <w:numPr>
                <w:ilvl w:val="0"/>
                <w:numId w:val="10"/>
              </w:numPr>
              <w:rPr>
                <w:rFonts w:asciiTheme="minorHAnsi" w:hAnsiTheme="minorHAnsi" w:cstheme="minorHAnsi"/>
                <w:color w:val="auto"/>
                <w:sz w:val="22"/>
                <w:szCs w:val="22"/>
              </w:rPr>
            </w:pPr>
            <w:r w:rsidRPr="001719D0">
              <w:rPr>
                <w:rFonts w:asciiTheme="minorHAnsi" w:hAnsiTheme="minorHAnsi" w:cstheme="minorHAnsi"/>
                <w:color w:val="auto"/>
                <w:sz w:val="22"/>
                <w:szCs w:val="22"/>
              </w:rPr>
              <w:t xml:space="preserve">Adult and paediatric bag valve mask resuscitator (e.g., </w:t>
            </w:r>
            <w:proofErr w:type="spellStart"/>
            <w:r w:rsidRPr="001719D0">
              <w:rPr>
                <w:rFonts w:asciiTheme="minorHAnsi" w:hAnsiTheme="minorHAnsi" w:cstheme="minorHAnsi"/>
                <w:color w:val="auto"/>
                <w:sz w:val="22"/>
                <w:szCs w:val="22"/>
              </w:rPr>
              <w:t>ambu</w:t>
            </w:r>
            <w:proofErr w:type="spellEnd"/>
            <w:r w:rsidRPr="001719D0">
              <w:rPr>
                <w:rFonts w:asciiTheme="minorHAnsi" w:hAnsiTheme="minorHAnsi" w:cstheme="minorHAnsi"/>
                <w:color w:val="auto"/>
                <w:sz w:val="22"/>
                <w:szCs w:val="22"/>
              </w:rPr>
              <w:t xml:space="preserve"> bag), oxygen tubing and a range of oxygen masks </w:t>
            </w:r>
          </w:p>
          <w:p w14:paraId="185F1E3C" w14:textId="6AEB65B3" w:rsidR="00BE0128" w:rsidRPr="001719D0" w:rsidRDefault="00BE0128" w:rsidP="000F1EE9">
            <w:pPr>
              <w:pStyle w:val="Default"/>
              <w:numPr>
                <w:ilvl w:val="0"/>
                <w:numId w:val="10"/>
              </w:numPr>
              <w:spacing w:after="240"/>
              <w:rPr>
                <w:rFonts w:asciiTheme="minorHAnsi" w:hAnsiTheme="minorHAnsi" w:cstheme="minorHAnsi"/>
                <w:color w:val="auto"/>
                <w:sz w:val="22"/>
                <w:szCs w:val="22"/>
              </w:rPr>
            </w:pPr>
            <w:r w:rsidRPr="001719D0">
              <w:rPr>
                <w:rFonts w:asciiTheme="minorHAnsi" w:hAnsiTheme="minorHAnsi" w:cstheme="minorHAnsi"/>
                <w:color w:val="auto"/>
                <w:sz w:val="22"/>
                <w:szCs w:val="22"/>
              </w:rPr>
              <w:t xml:space="preserve">Access to a telephone </w:t>
            </w:r>
          </w:p>
          <w:p w14:paraId="1417A07E" w14:textId="2AD8848E" w:rsidR="00BE0128" w:rsidRPr="001719D0" w:rsidRDefault="00BE0128" w:rsidP="000F1EE9">
            <w:pPr>
              <w:pStyle w:val="Default"/>
              <w:spacing w:after="240"/>
              <w:rPr>
                <w:rFonts w:asciiTheme="minorHAnsi" w:hAnsiTheme="minorHAnsi" w:cstheme="minorHAnsi"/>
                <w:color w:val="auto"/>
                <w:sz w:val="22"/>
                <w:szCs w:val="22"/>
              </w:rPr>
            </w:pPr>
            <w:r w:rsidRPr="001719D0">
              <w:rPr>
                <w:rFonts w:asciiTheme="minorHAnsi" w:hAnsiTheme="minorHAnsi" w:cstheme="minorHAnsi"/>
                <w:color w:val="auto"/>
                <w:sz w:val="22"/>
                <w:szCs w:val="22"/>
              </w:rPr>
              <w:t xml:space="preserve">A second person must be onsite at the time of vaccination and for at least 20 minutes post vaccination. </w:t>
            </w:r>
          </w:p>
          <w:p w14:paraId="6A42E560" w14:textId="42C4429E" w:rsidR="00BE0128" w:rsidRPr="001719D0" w:rsidRDefault="00BE0128" w:rsidP="000F1EE9">
            <w:pPr>
              <w:autoSpaceDE w:val="0"/>
              <w:autoSpaceDN w:val="0"/>
              <w:adjustRightInd w:val="0"/>
              <w:spacing w:after="240" w:line="240" w:lineRule="auto"/>
              <w:rPr>
                <w:rFonts w:cstheme="minorHAnsi"/>
                <w:lang w:val="mi-NZ"/>
              </w:rPr>
            </w:pPr>
            <w:r w:rsidRPr="001719D0">
              <w:rPr>
                <w:rFonts w:cstheme="minorHAnsi"/>
              </w:rPr>
              <w:t>Oxygen and airways are not essential equipment, it is acceptable to wait for the ambulance to bring them in settings where they are not needed for other emergencies.</w:t>
            </w:r>
          </w:p>
        </w:tc>
      </w:tr>
      <w:tr w:rsidR="00786B48" w:rsidRPr="001719D0" w14:paraId="20B2836D" w14:textId="77777777" w:rsidTr="000F1EE9">
        <w:tc>
          <w:tcPr>
            <w:tcW w:w="786" w:type="pct"/>
          </w:tcPr>
          <w:p w14:paraId="3CEA3186" w14:textId="1A8BE242" w:rsidR="00786B48" w:rsidRPr="001719D0" w:rsidRDefault="00786B48" w:rsidP="000C15C9">
            <w:pPr>
              <w:rPr>
                <w:rFonts w:ascii="Calibri" w:hAnsi="Calibri"/>
                <w:b/>
              </w:rPr>
            </w:pPr>
            <w:r w:rsidRPr="001719D0">
              <w:rPr>
                <w:rFonts w:ascii="Calibri" w:hAnsi="Calibri"/>
                <w:b/>
              </w:rPr>
              <w:t>Post-vaccination</w:t>
            </w:r>
          </w:p>
        </w:tc>
        <w:tc>
          <w:tcPr>
            <w:tcW w:w="4214" w:type="pct"/>
          </w:tcPr>
          <w:p w14:paraId="687F70CE" w14:textId="77777777" w:rsidR="00786B48" w:rsidRPr="001719D0" w:rsidRDefault="00786B48" w:rsidP="000F1EE9">
            <w:pPr>
              <w:pStyle w:val="Default"/>
              <w:spacing w:after="240"/>
              <w:jc w:val="both"/>
              <w:rPr>
                <w:sz w:val="22"/>
                <w:szCs w:val="22"/>
              </w:rPr>
            </w:pPr>
            <w:r w:rsidRPr="001719D0">
              <w:rPr>
                <w:sz w:val="22"/>
                <w:szCs w:val="22"/>
              </w:rPr>
              <w:t xml:space="preserve">Information is given both verbally and in written form about what to expect and when, how to minimise distress, and when to seek medical assistance and from whom. </w:t>
            </w:r>
          </w:p>
          <w:p w14:paraId="10BF3D55" w14:textId="77777777" w:rsidR="00647095" w:rsidRDefault="00786B48" w:rsidP="000F1EE9">
            <w:pPr>
              <w:pStyle w:val="Default"/>
              <w:spacing w:after="240"/>
              <w:jc w:val="both"/>
              <w:rPr>
                <w:sz w:val="22"/>
                <w:szCs w:val="22"/>
              </w:rPr>
            </w:pPr>
            <w:r w:rsidRPr="001719D0">
              <w:rPr>
                <w:sz w:val="22"/>
                <w:szCs w:val="22"/>
              </w:rPr>
              <w:t xml:space="preserve">The vaccinated person is observed in the clinic for at least 20 minutes post-vaccination. </w:t>
            </w:r>
            <w:r w:rsidR="00A64844">
              <w:rPr>
                <w:sz w:val="22"/>
                <w:szCs w:val="22"/>
              </w:rPr>
              <w:t>After your</w:t>
            </w:r>
          </w:p>
          <w:p w14:paraId="11D4D8FE" w14:textId="6EDC36EB" w:rsidR="00647095" w:rsidRDefault="00A71182" w:rsidP="000F1EE9">
            <w:pPr>
              <w:pStyle w:val="Default"/>
              <w:spacing w:after="240"/>
              <w:jc w:val="both"/>
              <w:rPr>
                <w:sz w:val="22"/>
                <w:szCs w:val="22"/>
              </w:rPr>
            </w:pPr>
            <w:hyperlink r:id="rId22" w:history="1">
              <w:r w:rsidRPr="00A71182">
                <w:rPr>
                  <w:rStyle w:val="Hyperlink"/>
                  <w:sz w:val="22"/>
                  <w:szCs w:val="22"/>
                </w:rPr>
                <w:t>Health Ed Booklet – After Your Child is Immunised</w:t>
              </w:r>
            </w:hyperlink>
          </w:p>
          <w:p w14:paraId="7F7AAFAD" w14:textId="32EA84C9" w:rsidR="00786B48" w:rsidRPr="001719D0" w:rsidRDefault="00786B48" w:rsidP="000F1EE9">
            <w:pPr>
              <w:spacing w:after="240" w:line="240" w:lineRule="auto"/>
              <w:jc w:val="both"/>
            </w:pPr>
            <w:r w:rsidRPr="001719D0">
              <w:t xml:space="preserve">Appropriate equipment is readily available for treatment of any adverse event following immunisation. </w:t>
            </w:r>
          </w:p>
        </w:tc>
      </w:tr>
      <w:tr w:rsidR="00786B48" w:rsidRPr="001719D0" w14:paraId="746D7883" w14:textId="77777777" w:rsidTr="000F1EE9">
        <w:tc>
          <w:tcPr>
            <w:tcW w:w="786" w:type="pct"/>
          </w:tcPr>
          <w:p w14:paraId="4E634C88" w14:textId="038709A8" w:rsidR="00786B48" w:rsidRPr="001719D0" w:rsidRDefault="00786B48" w:rsidP="000C15C9">
            <w:pPr>
              <w:rPr>
                <w:rFonts w:ascii="Calibri" w:hAnsi="Calibri"/>
                <w:b/>
              </w:rPr>
            </w:pPr>
            <w:r w:rsidRPr="001719D0">
              <w:rPr>
                <w:rFonts w:ascii="Calibri" w:hAnsi="Calibri"/>
                <w:b/>
              </w:rPr>
              <w:t>Documentation</w:t>
            </w:r>
          </w:p>
        </w:tc>
        <w:tc>
          <w:tcPr>
            <w:tcW w:w="4214" w:type="pct"/>
          </w:tcPr>
          <w:p w14:paraId="3D910C9A" w14:textId="3DB7F100" w:rsidR="00786B48" w:rsidRPr="001719D0" w:rsidRDefault="00786B48" w:rsidP="000F1EE9">
            <w:pPr>
              <w:pStyle w:val="Default"/>
              <w:spacing w:after="240"/>
              <w:jc w:val="both"/>
              <w:rPr>
                <w:sz w:val="22"/>
                <w:szCs w:val="22"/>
              </w:rPr>
            </w:pPr>
            <w:r w:rsidRPr="001719D0">
              <w:rPr>
                <w:sz w:val="22"/>
                <w:szCs w:val="22"/>
              </w:rPr>
              <w:t xml:space="preserve">Accurate documentation is required for the purposes of future immunisation decision making; possible legal scrutiny; follow-up of adverse events following immunisation (AEFIs); and the requirements of schools, travellers, infectious disease </w:t>
            </w:r>
            <w:r w:rsidR="00A64844" w:rsidRPr="001719D0">
              <w:rPr>
                <w:sz w:val="22"/>
                <w:szCs w:val="22"/>
              </w:rPr>
              <w:t>monitoring,</w:t>
            </w:r>
            <w:r w:rsidR="00A64844">
              <w:rPr>
                <w:sz w:val="22"/>
                <w:szCs w:val="22"/>
              </w:rPr>
              <w:t xml:space="preserve"> Te</w:t>
            </w:r>
            <w:r w:rsidR="00DB3063">
              <w:rPr>
                <w:sz w:val="22"/>
                <w:szCs w:val="22"/>
              </w:rPr>
              <w:t xml:space="preserve"> Whatu </w:t>
            </w:r>
            <w:r w:rsidR="0078599D">
              <w:rPr>
                <w:sz w:val="22"/>
                <w:szCs w:val="22"/>
              </w:rPr>
              <w:t>Ora (</w:t>
            </w:r>
            <w:r w:rsidR="00DB3063">
              <w:rPr>
                <w:sz w:val="22"/>
                <w:szCs w:val="22"/>
              </w:rPr>
              <w:t xml:space="preserve">Health </w:t>
            </w:r>
            <w:r w:rsidR="00C934BE">
              <w:rPr>
                <w:sz w:val="22"/>
                <w:szCs w:val="22"/>
              </w:rPr>
              <w:t>NZ)</w:t>
            </w:r>
            <w:r w:rsidR="00C934BE" w:rsidRPr="001719D0">
              <w:rPr>
                <w:sz w:val="22"/>
                <w:szCs w:val="22"/>
              </w:rPr>
              <w:t xml:space="preserve"> coverage</w:t>
            </w:r>
            <w:r w:rsidRPr="001719D0">
              <w:rPr>
                <w:sz w:val="22"/>
                <w:szCs w:val="22"/>
              </w:rPr>
              <w:t xml:space="preserve"> statistics and the </w:t>
            </w:r>
            <w:r w:rsidR="00DB3063">
              <w:rPr>
                <w:sz w:val="22"/>
                <w:szCs w:val="22"/>
              </w:rPr>
              <w:t>AIR</w:t>
            </w:r>
            <w:r w:rsidRPr="001719D0">
              <w:rPr>
                <w:sz w:val="22"/>
                <w:szCs w:val="22"/>
              </w:rPr>
              <w:t xml:space="preserve">. </w:t>
            </w:r>
          </w:p>
          <w:p w14:paraId="009D503B" w14:textId="198B1AC3" w:rsidR="00786B48" w:rsidRPr="001719D0" w:rsidRDefault="00786B48" w:rsidP="000F1EE9">
            <w:pPr>
              <w:pStyle w:val="Default"/>
              <w:spacing w:after="240"/>
              <w:jc w:val="both"/>
              <w:rPr>
                <w:sz w:val="22"/>
                <w:szCs w:val="22"/>
              </w:rPr>
            </w:pPr>
            <w:r w:rsidRPr="001719D0">
              <w:rPr>
                <w:sz w:val="22"/>
                <w:szCs w:val="22"/>
              </w:rPr>
              <w:t xml:space="preserve">Most </w:t>
            </w:r>
            <w:r w:rsidR="00E808EC" w:rsidRPr="001719D0">
              <w:rPr>
                <w:sz w:val="22"/>
                <w:szCs w:val="22"/>
              </w:rPr>
              <w:t>PMS</w:t>
            </w:r>
            <w:r w:rsidR="003600D3">
              <w:rPr>
                <w:sz w:val="22"/>
                <w:szCs w:val="22"/>
              </w:rPr>
              <w:t xml:space="preserve"> </w:t>
            </w:r>
            <w:r w:rsidRPr="001719D0">
              <w:rPr>
                <w:sz w:val="22"/>
                <w:szCs w:val="22"/>
              </w:rPr>
              <w:t xml:space="preserve">have minimum requirements for messaging to the NIR, and the current </w:t>
            </w:r>
            <w:hyperlink r:id="rId23" w:history="1">
              <w:r w:rsidRPr="00CB7D62">
                <w:rPr>
                  <w:rStyle w:val="Hyperlink"/>
                  <w:i/>
                  <w:iCs/>
                  <w:sz w:val="22"/>
                  <w:szCs w:val="22"/>
                </w:rPr>
                <w:t>Immunisation Handbook</w:t>
              </w:r>
            </w:hyperlink>
            <w:r w:rsidR="00CB7D62">
              <w:rPr>
                <w:i/>
                <w:iCs/>
                <w:sz w:val="22"/>
                <w:szCs w:val="22"/>
              </w:rPr>
              <w:t xml:space="preserve"> </w:t>
            </w:r>
            <w:r w:rsidRPr="001719D0">
              <w:rPr>
                <w:sz w:val="22"/>
                <w:szCs w:val="22"/>
              </w:rPr>
              <w:t xml:space="preserve">specifies what is required. Immunisation information is documented using the </w:t>
            </w:r>
            <w:r w:rsidRPr="001719D0">
              <w:rPr>
                <w:i/>
                <w:iCs/>
                <w:sz w:val="22"/>
                <w:szCs w:val="22"/>
              </w:rPr>
              <w:t xml:space="preserve">Immunisation </w:t>
            </w:r>
            <w:r w:rsidRPr="001719D0">
              <w:rPr>
                <w:sz w:val="22"/>
                <w:szCs w:val="22"/>
              </w:rPr>
              <w:t xml:space="preserve">tabs, the </w:t>
            </w:r>
            <w:r w:rsidRPr="001719D0">
              <w:rPr>
                <w:i/>
                <w:iCs/>
                <w:sz w:val="22"/>
                <w:szCs w:val="22"/>
              </w:rPr>
              <w:t xml:space="preserve">Patient Register </w:t>
            </w:r>
            <w:r w:rsidRPr="001719D0">
              <w:rPr>
                <w:sz w:val="22"/>
                <w:szCs w:val="22"/>
              </w:rPr>
              <w:t xml:space="preserve">window for demographic information and the </w:t>
            </w:r>
            <w:r w:rsidRPr="001719D0">
              <w:rPr>
                <w:i/>
                <w:iCs/>
                <w:sz w:val="22"/>
                <w:szCs w:val="22"/>
              </w:rPr>
              <w:t>Daily Record</w:t>
            </w:r>
            <w:r w:rsidRPr="001719D0">
              <w:rPr>
                <w:sz w:val="22"/>
                <w:szCs w:val="22"/>
              </w:rPr>
              <w:t xml:space="preserve">. </w:t>
            </w:r>
          </w:p>
          <w:p w14:paraId="4324510A" w14:textId="77777777" w:rsidR="00786B48" w:rsidRPr="001719D0" w:rsidRDefault="00786B48" w:rsidP="000F1EE9">
            <w:pPr>
              <w:spacing w:after="240" w:line="240" w:lineRule="auto"/>
              <w:jc w:val="both"/>
            </w:pPr>
            <w:r w:rsidRPr="001719D0">
              <w:t xml:space="preserve">Payment for the immunisation(s) is claimed by ticking the </w:t>
            </w:r>
            <w:r w:rsidRPr="001719D0">
              <w:rPr>
                <w:i/>
                <w:iCs/>
              </w:rPr>
              <w:t xml:space="preserve">Auto Bill </w:t>
            </w:r>
            <w:r w:rsidRPr="001719D0">
              <w:t xml:space="preserve">box in the </w:t>
            </w:r>
            <w:r w:rsidRPr="001719D0">
              <w:rPr>
                <w:i/>
                <w:iCs/>
              </w:rPr>
              <w:t>Immunisation Record</w:t>
            </w:r>
            <w:r w:rsidRPr="001719D0">
              <w:t xml:space="preserve">. </w:t>
            </w:r>
          </w:p>
          <w:p w14:paraId="0CB4D4B5" w14:textId="072DC5E1" w:rsidR="00786B48" w:rsidRPr="001719D0" w:rsidRDefault="00F50854" w:rsidP="000F1EE9">
            <w:pPr>
              <w:pStyle w:val="Default"/>
              <w:spacing w:after="240"/>
              <w:jc w:val="both"/>
              <w:rPr>
                <w:sz w:val="22"/>
                <w:szCs w:val="22"/>
              </w:rPr>
            </w:pPr>
            <w:r w:rsidRPr="001719D0">
              <w:rPr>
                <w:sz w:val="22"/>
                <w:szCs w:val="22"/>
              </w:rPr>
              <w:lastRenderedPageBreak/>
              <w:t xml:space="preserve">An </w:t>
            </w:r>
            <w:hyperlink r:id="rId24" w:history="1">
              <w:r w:rsidR="00786B48" w:rsidRPr="001719D0">
                <w:rPr>
                  <w:rStyle w:val="Hyperlink"/>
                  <w:i/>
                  <w:iCs/>
                  <w:sz w:val="22"/>
                  <w:szCs w:val="22"/>
                </w:rPr>
                <w:t>Immunisation Certificate</w:t>
              </w:r>
            </w:hyperlink>
            <w:r w:rsidR="00786B48" w:rsidRPr="001719D0">
              <w:rPr>
                <w:i/>
                <w:iCs/>
                <w:sz w:val="22"/>
                <w:szCs w:val="22"/>
              </w:rPr>
              <w:t xml:space="preserve"> </w:t>
            </w:r>
            <w:r w:rsidR="00786B48" w:rsidRPr="001719D0">
              <w:rPr>
                <w:sz w:val="22"/>
                <w:szCs w:val="22"/>
              </w:rPr>
              <w:t xml:space="preserve">is completed when children are aged 15 months, and again after the 4-year vaccination. </w:t>
            </w:r>
          </w:p>
          <w:p w14:paraId="527BDA2B" w14:textId="0BD50C39" w:rsidR="00786B48" w:rsidRPr="001719D0" w:rsidRDefault="00786B48" w:rsidP="000F1EE9">
            <w:pPr>
              <w:spacing w:after="240" w:line="240" w:lineRule="auto"/>
              <w:jc w:val="both"/>
            </w:pPr>
            <w:r w:rsidRPr="001719D0">
              <w:t xml:space="preserve">Caregivers are encouraged to bring the child’s </w:t>
            </w:r>
            <w:r w:rsidRPr="001719D0">
              <w:rPr>
                <w:i/>
                <w:iCs/>
              </w:rPr>
              <w:t xml:space="preserve">Well Child Tamariki Ora My Health Book </w:t>
            </w:r>
            <w:r w:rsidRPr="001719D0">
              <w:t xml:space="preserve">to clinical appointments. Immunisations given are documented </w:t>
            </w:r>
            <w:r w:rsidR="00F50854" w:rsidRPr="001719D0">
              <w:t xml:space="preserve">in the book </w:t>
            </w:r>
            <w:r w:rsidRPr="001719D0">
              <w:t xml:space="preserve">in the appropriate section. </w:t>
            </w:r>
          </w:p>
        </w:tc>
      </w:tr>
      <w:tr w:rsidR="007B531B" w:rsidRPr="001719D0" w14:paraId="139FCBC6" w14:textId="77777777" w:rsidTr="000F1EE9">
        <w:tc>
          <w:tcPr>
            <w:tcW w:w="786" w:type="pct"/>
          </w:tcPr>
          <w:p w14:paraId="3830AAEF" w14:textId="5B0E5815" w:rsidR="007B531B" w:rsidRPr="001719D0" w:rsidRDefault="007B531B" w:rsidP="000C15C9">
            <w:pPr>
              <w:rPr>
                <w:rFonts w:ascii="Calibri" w:hAnsi="Calibri"/>
                <w:b/>
              </w:rPr>
            </w:pPr>
            <w:r w:rsidRPr="001719D0">
              <w:rPr>
                <w:rFonts w:ascii="Calibri" w:hAnsi="Calibri"/>
                <w:b/>
              </w:rPr>
              <w:lastRenderedPageBreak/>
              <w:t>Cold Chain Management</w:t>
            </w:r>
          </w:p>
        </w:tc>
        <w:tc>
          <w:tcPr>
            <w:tcW w:w="4214" w:type="pct"/>
          </w:tcPr>
          <w:p w14:paraId="7200EA5D" w14:textId="020D0236" w:rsidR="007B531B" w:rsidRPr="001719D0" w:rsidRDefault="007B531B" w:rsidP="008A0808">
            <w:pPr>
              <w:pStyle w:val="bodytext"/>
              <w:spacing w:before="0" w:beforeAutospacing="0" w:after="240" w:afterAutospacing="0"/>
              <w:textAlignment w:val="baseline"/>
              <w:rPr>
                <w:rFonts w:asciiTheme="minorHAnsi" w:hAnsiTheme="minorHAnsi" w:cstheme="minorHAnsi"/>
                <w:sz w:val="22"/>
                <w:szCs w:val="22"/>
              </w:rPr>
            </w:pPr>
            <w:r w:rsidRPr="001719D0">
              <w:rPr>
                <w:rStyle w:val="Strong"/>
                <w:rFonts w:asciiTheme="minorHAnsi" w:hAnsiTheme="minorHAnsi" w:cstheme="minorHAnsi"/>
                <w:sz w:val="22"/>
                <w:szCs w:val="22"/>
              </w:rPr>
              <w:t>[Practice Name]</w:t>
            </w:r>
            <w:r w:rsidR="0085758B" w:rsidRPr="001719D0">
              <w:rPr>
                <w:rFonts w:asciiTheme="minorHAnsi" w:hAnsiTheme="minorHAnsi" w:cstheme="minorHAnsi"/>
                <w:sz w:val="22"/>
                <w:szCs w:val="22"/>
              </w:rPr>
              <w:t xml:space="preserve"> </w:t>
            </w:r>
            <w:r w:rsidRPr="001719D0">
              <w:rPr>
                <w:rFonts w:asciiTheme="minorHAnsi" w:hAnsiTheme="minorHAnsi" w:cstheme="minorHAnsi"/>
                <w:sz w:val="22"/>
                <w:szCs w:val="22"/>
              </w:rPr>
              <w:t xml:space="preserve">maintains </w:t>
            </w:r>
            <w:r w:rsidR="001A2CFA" w:rsidRPr="001719D0">
              <w:rPr>
                <w:rFonts w:asciiTheme="minorHAnsi" w:hAnsiTheme="minorHAnsi" w:cstheme="minorHAnsi"/>
                <w:sz w:val="22"/>
                <w:szCs w:val="22"/>
              </w:rPr>
              <w:t>C</w:t>
            </w:r>
            <w:r w:rsidRPr="001719D0">
              <w:rPr>
                <w:rFonts w:asciiTheme="minorHAnsi" w:hAnsiTheme="minorHAnsi" w:cstheme="minorHAnsi"/>
                <w:sz w:val="22"/>
                <w:szCs w:val="22"/>
              </w:rPr>
              <w:t xml:space="preserve">old </w:t>
            </w:r>
            <w:r w:rsidR="001A2CFA" w:rsidRPr="001719D0">
              <w:rPr>
                <w:rFonts w:asciiTheme="minorHAnsi" w:hAnsiTheme="minorHAnsi" w:cstheme="minorHAnsi"/>
                <w:sz w:val="22"/>
                <w:szCs w:val="22"/>
              </w:rPr>
              <w:t>C</w:t>
            </w:r>
            <w:r w:rsidRPr="001719D0">
              <w:rPr>
                <w:rFonts w:asciiTheme="minorHAnsi" w:hAnsiTheme="minorHAnsi" w:cstheme="minorHAnsi"/>
                <w:sz w:val="22"/>
                <w:szCs w:val="22"/>
              </w:rPr>
              <w:t xml:space="preserve">hain </w:t>
            </w:r>
            <w:r w:rsidR="001A2CFA" w:rsidRPr="001719D0">
              <w:rPr>
                <w:rFonts w:asciiTheme="minorHAnsi" w:hAnsiTheme="minorHAnsi" w:cstheme="minorHAnsi"/>
                <w:sz w:val="22"/>
                <w:szCs w:val="22"/>
              </w:rPr>
              <w:t>A</w:t>
            </w:r>
            <w:r w:rsidRPr="001719D0">
              <w:rPr>
                <w:rFonts w:asciiTheme="minorHAnsi" w:hAnsiTheme="minorHAnsi" w:cstheme="minorHAnsi"/>
                <w:sz w:val="22"/>
                <w:szCs w:val="22"/>
              </w:rPr>
              <w:t>ccreditation (CCA) in accordance with:</w:t>
            </w:r>
          </w:p>
          <w:p w14:paraId="57D5352E" w14:textId="77777777" w:rsidR="008A0808" w:rsidRPr="008A0808" w:rsidRDefault="00B5498D" w:rsidP="008A0808">
            <w:pPr>
              <w:pStyle w:val="listbullet"/>
              <w:numPr>
                <w:ilvl w:val="0"/>
                <w:numId w:val="28"/>
              </w:numPr>
              <w:tabs>
                <w:tab w:val="clear" w:pos="0"/>
                <w:tab w:val="num" w:pos="581"/>
              </w:tabs>
              <w:spacing w:before="0" w:beforeAutospacing="0" w:after="0" w:afterAutospacing="0"/>
              <w:ind w:left="491" w:hanging="450"/>
              <w:textAlignment w:val="baseline"/>
              <w:rPr>
                <w:rStyle w:val="Hyperlink"/>
                <w:rFonts w:asciiTheme="minorHAnsi" w:hAnsiTheme="minorHAnsi" w:cstheme="minorHAnsi"/>
                <w:color w:val="auto"/>
                <w:sz w:val="22"/>
                <w:szCs w:val="22"/>
                <w:u w:val="none"/>
              </w:rPr>
            </w:pPr>
            <w:hyperlink r:id="rId25" w:tgtFrame="_blank" w:history="1">
              <w:r w:rsidR="007B531B" w:rsidRPr="001719D0">
                <w:rPr>
                  <w:rStyle w:val="Hyperlink"/>
                  <w:rFonts w:asciiTheme="minorHAnsi" w:hAnsiTheme="minorHAnsi" w:cstheme="minorHAnsi"/>
                  <w:sz w:val="22"/>
                  <w:szCs w:val="22"/>
                </w:rPr>
                <w:t>National Standards for Vaccine Storage and Transportation for Immunisation Providers 2017</w:t>
              </w:r>
            </w:hyperlink>
          </w:p>
          <w:p w14:paraId="34DBD787" w14:textId="465BCED3" w:rsidR="007B531B" w:rsidRPr="006C6115" w:rsidRDefault="006C6115" w:rsidP="008A0808">
            <w:pPr>
              <w:pStyle w:val="listbullet"/>
              <w:numPr>
                <w:ilvl w:val="0"/>
                <w:numId w:val="28"/>
              </w:numPr>
              <w:tabs>
                <w:tab w:val="clear" w:pos="0"/>
                <w:tab w:val="num" w:pos="581"/>
              </w:tabs>
              <w:spacing w:before="0" w:beforeAutospacing="0" w:after="240" w:afterAutospacing="0"/>
              <w:ind w:left="491" w:hanging="450"/>
              <w:textAlignment w:val="baseline"/>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"https://www.tewhatuora.govt.nz/publications/2021-addendum-to-national-standards-for-vaccine-storage-and-transportation-providers-2017-2nd-edition/" \t "_blank"</w:instrText>
            </w:r>
            <w:r>
              <w:rPr>
                <w:rFonts w:asciiTheme="minorHAnsi" w:hAnsiTheme="minorHAnsi" w:cstheme="minorHAnsi"/>
                <w:sz w:val="22"/>
                <w:szCs w:val="22"/>
              </w:rPr>
            </w:r>
            <w:r>
              <w:rPr>
                <w:rFonts w:asciiTheme="minorHAnsi" w:hAnsiTheme="minorHAnsi" w:cstheme="minorHAnsi"/>
                <w:sz w:val="22"/>
                <w:szCs w:val="22"/>
              </w:rPr>
              <w:fldChar w:fldCharType="separate"/>
            </w:r>
            <w:r w:rsidR="007B531B" w:rsidRPr="006C6115">
              <w:rPr>
                <w:rStyle w:val="Hyperlink"/>
                <w:rFonts w:asciiTheme="minorHAnsi" w:hAnsiTheme="minorHAnsi" w:cstheme="minorHAnsi"/>
                <w:sz w:val="22"/>
                <w:szCs w:val="22"/>
              </w:rPr>
              <w:t>2021 Addendum to National Standards for Vaccine Storage and Transportation Providers 2017 (2nd edition).</w:t>
            </w:r>
          </w:p>
          <w:p w14:paraId="2AA04661" w14:textId="74D6D350" w:rsidR="007B531B" w:rsidRPr="001239C0" w:rsidRDefault="006C6115" w:rsidP="001239C0">
            <w:pPr>
              <w:pStyle w:val="listbullet"/>
              <w:spacing w:before="0" w:beforeAutospacing="0" w:after="240" w:afterAutospacing="0"/>
              <w:ind w:left="41"/>
              <w:textAlignment w:val="baseline"/>
              <w:rPr>
                <w:rFonts w:asciiTheme="minorHAnsi" w:hAnsiTheme="minorHAnsi" w:cstheme="minorHAnsi"/>
                <w:sz w:val="22"/>
                <w:szCs w:val="22"/>
              </w:rPr>
            </w:pPr>
            <w:r w:rsidRPr="001239C0">
              <w:rPr>
                <w:rFonts w:asciiTheme="minorHAnsi" w:hAnsiTheme="minorHAnsi" w:cstheme="minorHAnsi"/>
                <w:sz w:val="22"/>
                <w:szCs w:val="22"/>
              </w:rPr>
              <w:fldChar w:fldCharType="end"/>
            </w:r>
            <w:r w:rsidR="0085758B" w:rsidRPr="001239C0">
              <w:rPr>
                <w:rFonts w:asciiTheme="minorHAnsi" w:hAnsiTheme="minorHAnsi" w:cstheme="minorHAnsi"/>
                <w:sz w:val="22"/>
                <w:szCs w:val="22"/>
              </w:rPr>
              <w:t xml:space="preserve">Within the </w:t>
            </w:r>
            <w:r w:rsidR="007B531B" w:rsidRPr="001239C0">
              <w:rPr>
                <w:rFonts w:asciiTheme="minorHAnsi" w:hAnsiTheme="minorHAnsi" w:cstheme="minorHAnsi"/>
                <w:sz w:val="22"/>
                <w:szCs w:val="22"/>
              </w:rPr>
              <w:t>practice:</w:t>
            </w:r>
          </w:p>
          <w:p w14:paraId="61B8C90F" w14:textId="0E7A4AA7" w:rsidR="007B531B" w:rsidRPr="001719D0" w:rsidRDefault="007B531B" w:rsidP="008A0808">
            <w:pPr>
              <w:pStyle w:val="listbullet"/>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All clinical staff are trained in cold chain protocol and vaccine storage.</w:t>
            </w:r>
          </w:p>
          <w:p w14:paraId="4CCA3747" w14:textId="440DA888" w:rsidR="007B531B" w:rsidRPr="001719D0" w:rsidRDefault="007B531B" w:rsidP="008A0808">
            <w:pPr>
              <w:pStyle w:val="listbullet"/>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At least two staff working with the mRNA-CV (Comirnaty) vaccine have specific training which includes:</w:t>
            </w:r>
          </w:p>
          <w:p w14:paraId="04B76B4C" w14:textId="667E1E6A" w:rsidR="007B531B" w:rsidRPr="001719D0" w:rsidRDefault="0085758B" w:rsidP="008A0808">
            <w:pPr>
              <w:pStyle w:val="listbullet2"/>
              <w:numPr>
                <w:ilvl w:val="1"/>
                <w:numId w:val="32"/>
              </w:numPr>
              <w:spacing w:before="0" w:beforeAutospacing="0" w:after="0" w:afterAutospacing="0"/>
              <w:ind w:left="941" w:hanging="450"/>
              <w:textAlignment w:val="baseline"/>
              <w:rPr>
                <w:rFonts w:asciiTheme="minorHAnsi" w:hAnsiTheme="minorHAnsi" w:cstheme="minorHAnsi"/>
                <w:sz w:val="22"/>
                <w:szCs w:val="22"/>
              </w:rPr>
            </w:pPr>
            <w:r w:rsidRPr="001719D0">
              <w:rPr>
                <w:rFonts w:asciiTheme="minorHAnsi" w:hAnsiTheme="minorHAnsi" w:cstheme="minorHAnsi"/>
                <w:sz w:val="22"/>
                <w:szCs w:val="22"/>
              </w:rPr>
              <w:t xml:space="preserve">Monitoring </w:t>
            </w:r>
            <w:r w:rsidR="007B531B" w:rsidRPr="001719D0">
              <w:rPr>
                <w:rFonts w:asciiTheme="minorHAnsi" w:hAnsiTheme="minorHAnsi" w:cstheme="minorHAnsi"/>
                <w:sz w:val="22"/>
                <w:szCs w:val="22"/>
              </w:rPr>
              <w:t>the storage conditions, expiry dates and ambient air temperature</w:t>
            </w:r>
            <w:r w:rsidRPr="001719D0">
              <w:rPr>
                <w:rFonts w:asciiTheme="minorHAnsi" w:hAnsiTheme="minorHAnsi" w:cstheme="minorHAnsi"/>
                <w:sz w:val="22"/>
                <w:szCs w:val="22"/>
              </w:rPr>
              <w:t>;</w:t>
            </w:r>
          </w:p>
          <w:p w14:paraId="0B9C078C" w14:textId="0F61BCE1" w:rsidR="007B531B" w:rsidRPr="001719D0" w:rsidRDefault="0085758B" w:rsidP="008A0808">
            <w:pPr>
              <w:pStyle w:val="listbullet2"/>
              <w:numPr>
                <w:ilvl w:val="1"/>
                <w:numId w:val="32"/>
              </w:numPr>
              <w:spacing w:before="0" w:beforeAutospacing="0" w:after="0" w:afterAutospacing="0"/>
              <w:ind w:left="941" w:hanging="450"/>
              <w:textAlignment w:val="baseline"/>
              <w:rPr>
                <w:rFonts w:asciiTheme="minorHAnsi" w:hAnsiTheme="minorHAnsi" w:cstheme="minorHAnsi"/>
                <w:sz w:val="22"/>
                <w:szCs w:val="22"/>
              </w:rPr>
            </w:pPr>
            <w:r w:rsidRPr="001719D0">
              <w:rPr>
                <w:rFonts w:asciiTheme="minorHAnsi" w:hAnsiTheme="minorHAnsi" w:cstheme="minorHAnsi"/>
                <w:sz w:val="22"/>
                <w:szCs w:val="22"/>
              </w:rPr>
              <w:t xml:space="preserve">Recording </w:t>
            </w:r>
            <w:r w:rsidR="007B531B" w:rsidRPr="001719D0">
              <w:rPr>
                <w:rFonts w:asciiTheme="minorHAnsi" w:hAnsiTheme="minorHAnsi" w:cstheme="minorHAnsi"/>
                <w:sz w:val="22"/>
                <w:szCs w:val="22"/>
              </w:rPr>
              <w:t>and storing the ambient air temperature information for 10 years</w:t>
            </w:r>
            <w:r w:rsidRPr="001719D0">
              <w:rPr>
                <w:rFonts w:asciiTheme="minorHAnsi" w:hAnsiTheme="minorHAnsi" w:cstheme="minorHAnsi"/>
                <w:sz w:val="22"/>
                <w:szCs w:val="22"/>
              </w:rPr>
              <w:t>;</w:t>
            </w:r>
          </w:p>
          <w:p w14:paraId="7BDA3D87" w14:textId="3397AB3A" w:rsidR="007B531B" w:rsidRPr="001719D0" w:rsidRDefault="0085758B" w:rsidP="008A0808">
            <w:pPr>
              <w:pStyle w:val="listbullet2"/>
              <w:numPr>
                <w:ilvl w:val="1"/>
                <w:numId w:val="32"/>
              </w:numPr>
              <w:spacing w:before="0" w:beforeAutospacing="0" w:after="0" w:afterAutospacing="0"/>
              <w:ind w:left="941" w:hanging="450"/>
              <w:textAlignment w:val="baseline"/>
              <w:rPr>
                <w:rFonts w:asciiTheme="minorHAnsi" w:hAnsiTheme="minorHAnsi" w:cstheme="minorHAnsi"/>
                <w:sz w:val="22"/>
                <w:szCs w:val="22"/>
              </w:rPr>
            </w:pPr>
            <w:r w:rsidRPr="001719D0">
              <w:rPr>
                <w:rFonts w:asciiTheme="minorHAnsi" w:hAnsiTheme="minorHAnsi" w:cstheme="minorHAnsi"/>
                <w:sz w:val="22"/>
                <w:szCs w:val="22"/>
              </w:rPr>
              <w:t>T</w:t>
            </w:r>
            <w:r w:rsidR="007B531B" w:rsidRPr="001719D0">
              <w:rPr>
                <w:rFonts w:asciiTheme="minorHAnsi" w:hAnsiTheme="minorHAnsi" w:cstheme="minorHAnsi"/>
                <w:sz w:val="22"/>
                <w:szCs w:val="22"/>
              </w:rPr>
              <w:t>he quarantine procedure for temperature breaches</w:t>
            </w:r>
            <w:r w:rsidRPr="001719D0">
              <w:rPr>
                <w:rFonts w:asciiTheme="minorHAnsi" w:hAnsiTheme="minorHAnsi" w:cstheme="minorHAnsi"/>
                <w:sz w:val="22"/>
                <w:szCs w:val="22"/>
              </w:rPr>
              <w:t>.</w:t>
            </w:r>
          </w:p>
          <w:p w14:paraId="7E7762AB" w14:textId="4107914D" w:rsidR="007B531B" w:rsidRPr="001719D0" w:rsidRDefault="007B531B" w:rsidP="008A0808">
            <w:pPr>
              <w:pStyle w:val="listbullet"/>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Designated staff members are responsible for monitoring storage conditions and expiry dates of vaccines.</w:t>
            </w:r>
          </w:p>
          <w:p w14:paraId="4511396D" w14:textId="7B19D3B9" w:rsidR="007B531B" w:rsidRPr="001719D0" w:rsidRDefault="007B531B" w:rsidP="008A0808">
            <w:pPr>
              <w:pStyle w:val="listbullet"/>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There are daily and weekly systems for monitoring the temperature of the vaccine fridge.</w:t>
            </w:r>
          </w:p>
          <w:p w14:paraId="40D4D574" w14:textId="217BA8DF" w:rsidR="007B531B" w:rsidRPr="001719D0" w:rsidRDefault="007B531B" w:rsidP="008A0808">
            <w:pPr>
              <w:pStyle w:val="listcontinue"/>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Staff check the temperature recording charts each day for variations in temperature.</w:t>
            </w:r>
          </w:p>
          <w:p w14:paraId="400D883A" w14:textId="6C4261F6" w:rsidR="007B531B" w:rsidRPr="001719D0" w:rsidRDefault="007B531B" w:rsidP="008A0808">
            <w:pPr>
              <w:pStyle w:val="listbullet"/>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 xml:space="preserve">There is a process and equipment </w:t>
            </w:r>
            <w:r w:rsidR="00F50854" w:rsidRPr="001719D0">
              <w:rPr>
                <w:rFonts w:asciiTheme="minorHAnsi" w:hAnsiTheme="minorHAnsi" w:cstheme="minorHAnsi"/>
                <w:sz w:val="22"/>
                <w:szCs w:val="22"/>
              </w:rPr>
              <w:t xml:space="preserve">available </w:t>
            </w:r>
            <w:r w:rsidRPr="001719D0">
              <w:rPr>
                <w:rFonts w:asciiTheme="minorHAnsi" w:hAnsiTheme="minorHAnsi" w:cstheme="minorHAnsi"/>
                <w:sz w:val="22"/>
                <w:szCs w:val="22"/>
              </w:rPr>
              <w:t>for safe temporary storage of vaccines in the event of a power outage or fridge failure.</w:t>
            </w:r>
          </w:p>
          <w:p w14:paraId="172D6A5D" w14:textId="77777777" w:rsidR="008A0808" w:rsidRDefault="0085758B" w:rsidP="008A0808">
            <w:pPr>
              <w:pStyle w:val="bodytext"/>
              <w:numPr>
                <w:ilvl w:val="0"/>
                <w:numId w:val="32"/>
              </w:numPr>
              <w:spacing w:before="0" w:beforeAutospacing="0" w:after="0" w:afterAutospacing="0"/>
              <w:ind w:left="491" w:hanging="450"/>
              <w:textAlignment w:val="baseline"/>
              <w:rPr>
                <w:rFonts w:asciiTheme="minorHAnsi" w:hAnsiTheme="minorHAnsi" w:cstheme="minorHAnsi"/>
                <w:sz w:val="22"/>
                <w:szCs w:val="22"/>
              </w:rPr>
            </w:pPr>
            <w:r w:rsidRPr="001719D0">
              <w:rPr>
                <w:rFonts w:asciiTheme="minorHAnsi" w:hAnsiTheme="minorHAnsi" w:cstheme="minorHAnsi"/>
                <w:sz w:val="22"/>
                <w:szCs w:val="22"/>
              </w:rPr>
              <w:t>The practice’s</w:t>
            </w:r>
            <w:r w:rsidR="007B531B" w:rsidRPr="001719D0">
              <w:rPr>
                <w:rFonts w:asciiTheme="minorHAnsi" w:hAnsiTheme="minorHAnsi" w:cstheme="minorHAnsi"/>
                <w:sz w:val="22"/>
                <w:szCs w:val="22"/>
              </w:rPr>
              <w:t xml:space="preserve"> Cold Chain Management Policy is reviewed annually, or whenever there is a change of designated cold chain staff, new equipment, or new processes.</w:t>
            </w:r>
          </w:p>
          <w:p w14:paraId="08ECF41D" w14:textId="77777777" w:rsidR="007B531B" w:rsidRDefault="007B531B" w:rsidP="008A0808">
            <w:pPr>
              <w:pStyle w:val="bodytext"/>
              <w:numPr>
                <w:ilvl w:val="0"/>
                <w:numId w:val="32"/>
              </w:numPr>
              <w:spacing w:before="0" w:beforeAutospacing="0" w:after="240" w:afterAutospacing="0"/>
              <w:ind w:left="491" w:hanging="450"/>
              <w:textAlignment w:val="baseline"/>
              <w:rPr>
                <w:rFonts w:asciiTheme="minorHAnsi" w:hAnsiTheme="minorHAnsi" w:cstheme="minorHAnsi"/>
                <w:sz w:val="22"/>
                <w:szCs w:val="22"/>
              </w:rPr>
            </w:pPr>
            <w:r w:rsidRPr="008A0808">
              <w:rPr>
                <w:rFonts w:asciiTheme="minorHAnsi" w:hAnsiTheme="minorHAnsi" w:cstheme="minorHAnsi"/>
                <w:sz w:val="22"/>
                <w:szCs w:val="22"/>
              </w:rPr>
              <w:t xml:space="preserve">All cold chain records are stored for at least 10 years. </w:t>
            </w:r>
          </w:p>
          <w:p w14:paraId="2670E849" w14:textId="77777777" w:rsidR="00841B3D" w:rsidRPr="00D64747" w:rsidRDefault="00841B3D" w:rsidP="00841B3D">
            <w:pPr>
              <w:shd w:val="clear" w:color="auto" w:fill="FFFFFF"/>
              <w:spacing w:after="150" w:line="413" w:lineRule="atLeast"/>
              <w:outlineLvl w:val="1"/>
              <w:rPr>
                <w:rFonts w:eastAsia="Times New Roman" w:cstheme="minorHAnsi"/>
                <w:b/>
                <w:bCs/>
                <w:color w:val="000000" w:themeColor="text1"/>
                <w:lang w:eastAsia="en-NZ"/>
              </w:rPr>
            </w:pPr>
            <w:r w:rsidRPr="00D64747">
              <w:rPr>
                <w:rFonts w:eastAsia="Times New Roman" w:cstheme="minorHAnsi"/>
                <w:b/>
                <w:bCs/>
                <w:color w:val="000000" w:themeColor="text1"/>
                <w:lang w:eastAsia="en-NZ"/>
              </w:rPr>
              <w:t>Resources</w:t>
            </w:r>
          </w:p>
          <w:p w14:paraId="548BFAE8" w14:textId="77777777" w:rsidR="00841B3D" w:rsidRPr="00D64747" w:rsidRDefault="00841B3D" w:rsidP="00841B3D">
            <w:pPr>
              <w:shd w:val="clear" w:color="auto" w:fill="FFFFFF"/>
              <w:spacing w:after="0" w:line="240" w:lineRule="auto"/>
              <w:outlineLvl w:val="3"/>
              <w:rPr>
                <w:rFonts w:eastAsia="Times New Roman" w:cstheme="minorHAnsi"/>
                <w:b/>
                <w:bCs/>
                <w:color w:val="000000" w:themeColor="text1"/>
                <w:lang w:eastAsia="en-NZ"/>
              </w:rPr>
            </w:pPr>
            <w:r w:rsidRPr="00D64747">
              <w:rPr>
                <w:rFonts w:eastAsia="Times New Roman" w:cstheme="minorHAnsi"/>
                <w:b/>
                <w:bCs/>
                <w:color w:val="000000" w:themeColor="text1"/>
                <w:lang w:eastAsia="en-NZ"/>
              </w:rPr>
              <w:t>Key documents</w:t>
            </w:r>
          </w:p>
          <w:p w14:paraId="19256D93" w14:textId="77777777" w:rsidR="00841B3D" w:rsidRPr="00D64747" w:rsidRDefault="00841B3D" w:rsidP="00841B3D">
            <w:pPr>
              <w:numPr>
                <w:ilvl w:val="0"/>
                <w:numId w:val="34"/>
              </w:numPr>
              <w:shd w:val="clear" w:color="auto" w:fill="FFFFFF"/>
              <w:spacing w:before="100" w:beforeAutospacing="1" w:after="100" w:afterAutospacing="1" w:line="240" w:lineRule="auto"/>
              <w:rPr>
                <w:rFonts w:eastAsia="Times New Roman" w:cstheme="minorHAnsi"/>
                <w:color w:val="45414E"/>
                <w:lang w:eastAsia="en-NZ"/>
              </w:rPr>
            </w:pPr>
            <w:r w:rsidRPr="001239C0">
              <w:rPr>
                <w:rFonts w:eastAsia="Times New Roman" w:cstheme="minorHAnsi"/>
                <w:color w:val="000000" w:themeColor="text1"/>
                <w:lang w:eastAsia="en-NZ"/>
              </w:rPr>
              <w:t>The Ministry of Health </w:t>
            </w:r>
            <w:hyperlink r:id="rId26" w:history="1">
              <w:r w:rsidRPr="00D64747">
                <w:rPr>
                  <w:rFonts w:eastAsia="Times New Roman" w:cstheme="minorHAnsi"/>
                  <w:color w:val="0000FF"/>
                  <w:u w:val="single"/>
                  <w:lang w:eastAsia="en-NZ"/>
                </w:rPr>
                <w:t>cold chain page.</w:t>
              </w:r>
            </w:hyperlink>
          </w:p>
          <w:p w14:paraId="4BE96B55" w14:textId="77777777" w:rsidR="00841B3D" w:rsidRPr="00D64747" w:rsidRDefault="00B5498D" w:rsidP="00841B3D">
            <w:pPr>
              <w:numPr>
                <w:ilvl w:val="0"/>
                <w:numId w:val="34"/>
              </w:numPr>
              <w:shd w:val="clear" w:color="auto" w:fill="FFFFFF"/>
              <w:spacing w:before="100" w:beforeAutospacing="1" w:after="100" w:afterAutospacing="1" w:line="240" w:lineRule="auto"/>
              <w:rPr>
                <w:rFonts w:eastAsia="Times New Roman" w:cstheme="minorHAnsi"/>
                <w:color w:val="45414E"/>
                <w:lang w:eastAsia="en-NZ"/>
              </w:rPr>
            </w:pPr>
            <w:hyperlink r:id="rId27" w:history="1">
              <w:r w:rsidR="00841B3D" w:rsidRPr="00D64747">
                <w:rPr>
                  <w:rFonts w:eastAsia="Times New Roman" w:cstheme="minorHAnsi"/>
                  <w:color w:val="0000FF"/>
                  <w:u w:val="single"/>
                  <w:lang w:eastAsia="en-NZ"/>
                </w:rPr>
                <w:t>‍</w:t>
              </w:r>
            </w:hyperlink>
            <w:hyperlink r:id="rId28" w:history="1">
              <w:r w:rsidR="00841B3D" w:rsidRPr="00D64747">
                <w:rPr>
                  <w:rFonts w:eastAsia="Times New Roman" w:cstheme="minorHAnsi"/>
                  <w:color w:val="0000FF"/>
                  <w:u w:val="single"/>
                  <w:lang w:eastAsia="en-NZ"/>
                </w:rPr>
                <w:t>National Standards for Vaccine Storage and Transportation for Immunisation Providers 2017 (2nd Edition)</w:t>
              </w:r>
            </w:hyperlink>
            <w:r w:rsidR="00841B3D" w:rsidRPr="00D64747">
              <w:rPr>
                <w:rFonts w:eastAsia="Times New Roman" w:cstheme="minorHAnsi"/>
                <w:color w:val="45414E"/>
                <w:lang w:eastAsia="en-NZ"/>
              </w:rPr>
              <w:t>.</w:t>
            </w:r>
          </w:p>
          <w:p w14:paraId="54C767EE" w14:textId="06D17822" w:rsidR="00841B3D" w:rsidRPr="00D64747" w:rsidRDefault="00841B3D" w:rsidP="00841B3D">
            <w:pPr>
              <w:numPr>
                <w:ilvl w:val="0"/>
                <w:numId w:val="34"/>
              </w:numPr>
              <w:shd w:val="clear" w:color="auto" w:fill="FFFFFF"/>
              <w:spacing w:before="100" w:beforeAutospacing="1" w:after="100" w:afterAutospacing="1" w:line="240" w:lineRule="auto"/>
              <w:rPr>
                <w:rFonts w:eastAsia="Times New Roman" w:cstheme="minorHAnsi"/>
                <w:color w:val="000000" w:themeColor="text1"/>
                <w:lang w:eastAsia="en-NZ"/>
              </w:rPr>
            </w:pPr>
            <w:r w:rsidRPr="00D64747">
              <w:rPr>
                <w:rFonts w:eastAsia="Times New Roman" w:cstheme="minorHAnsi"/>
                <w:color w:val="45414E"/>
                <w:lang w:eastAsia="en-NZ"/>
              </w:rPr>
              <w:t>‍</w:t>
            </w:r>
            <w:hyperlink r:id="rId29" w:history="1">
              <w:r w:rsidRPr="00D64747">
                <w:rPr>
                  <w:rFonts w:eastAsia="Times New Roman" w:cstheme="minorHAnsi"/>
                  <w:color w:val="0000FF"/>
                  <w:u w:val="single"/>
                  <w:lang w:eastAsia="en-NZ"/>
                </w:rPr>
                <w:t>Addendum to National Standards, June 2021</w:t>
              </w:r>
            </w:hyperlink>
            <w:r w:rsidRPr="00D64747">
              <w:rPr>
                <w:rFonts w:eastAsia="Times New Roman" w:cstheme="minorHAnsi"/>
                <w:color w:val="45414E"/>
                <w:lang w:eastAsia="en-NZ"/>
              </w:rPr>
              <w:t xml:space="preserve">. </w:t>
            </w:r>
            <w:r w:rsidRPr="00D64747">
              <w:rPr>
                <w:rFonts w:eastAsia="Times New Roman" w:cstheme="minorHAnsi"/>
                <w:color w:val="000000" w:themeColor="text1"/>
                <w:lang w:eastAsia="en-NZ"/>
              </w:rPr>
              <w:t>This covers the Pfizer-BioNTech COVID-19 vaccine.</w:t>
            </w:r>
          </w:p>
          <w:p w14:paraId="00EAFD51" w14:textId="77777777" w:rsidR="00841B3D" w:rsidRPr="00D64747" w:rsidRDefault="00B5498D" w:rsidP="00841B3D">
            <w:pPr>
              <w:numPr>
                <w:ilvl w:val="0"/>
                <w:numId w:val="34"/>
              </w:numPr>
              <w:shd w:val="clear" w:color="auto" w:fill="FFFFFF"/>
              <w:spacing w:before="100" w:beforeAutospacing="1" w:after="100" w:afterAutospacing="1" w:line="240" w:lineRule="auto"/>
              <w:rPr>
                <w:rFonts w:eastAsia="Times New Roman" w:cstheme="minorHAnsi"/>
                <w:color w:val="45414E"/>
                <w:lang w:eastAsia="en-NZ"/>
              </w:rPr>
            </w:pPr>
            <w:hyperlink r:id="rId30" w:history="1">
              <w:r w:rsidR="00841B3D" w:rsidRPr="00D64747">
                <w:rPr>
                  <w:rFonts w:eastAsia="Times New Roman" w:cstheme="minorHAnsi"/>
                  <w:color w:val="0000FF"/>
                  <w:u w:val="single"/>
                  <w:lang w:eastAsia="en-NZ"/>
                </w:rPr>
                <w:t>Cold chain management policy template</w:t>
              </w:r>
            </w:hyperlink>
          </w:p>
          <w:p w14:paraId="5204B676" w14:textId="77777777" w:rsidR="00841B3D" w:rsidRPr="00D64747" w:rsidRDefault="00B5498D" w:rsidP="00841B3D">
            <w:pPr>
              <w:numPr>
                <w:ilvl w:val="0"/>
                <w:numId w:val="34"/>
              </w:numPr>
              <w:shd w:val="clear" w:color="auto" w:fill="FFFFFF"/>
              <w:spacing w:before="100" w:beforeAutospacing="1" w:after="100" w:afterAutospacing="1" w:line="240" w:lineRule="auto"/>
              <w:rPr>
                <w:rFonts w:eastAsia="Times New Roman" w:cstheme="minorHAnsi"/>
                <w:color w:val="45414E"/>
                <w:lang w:eastAsia="en-NZ"/>
              </w:rPr>
            </w:pPr>
            <w:hyperlink r:id="rId31" w:tgtFrame="_blank" w:history="1">
              <w:r w:rsidR="00841B3D" w:rsidRPr="00D64747">
                <w:rPr>
                  <w:rFonts w:eastAsia="Times New Roman" w:cstheme="minorHAnsi"/>
                  <w:color w:val="0000FF"/>
                  <w:u w:val="single"/>
                  <w:lang w:eastAsia="en-NZ"/>
                </w:rPr>
                <w:t>‍</w:t>
              </w:r>
            </w:hyperlink>
            <w:hyperlink r:id="rId32" w:history="1">
              <w:r w:rsidR="00841B3D" w:rsidRPr="00D64747">
                <w:rPr>
                  <w:rFonts w:eastAsia="Times New Roman" w:cstheme="minorHAnsi"/>
                  <w:color w:val="0000FF"/>
                  <w:u w:val="single"/>
                  <w:lang w:eastAsia="en-NZ"/>
                </w:rPr>
                <w:t>Annual Cold Chain Management Record</w:t>
              </w:r>
            </w:hyperlink>
          </w:p>
          <w:p w14:paraId="19D8A2E4" w14:textId="77777777" w:rsidR="00841B3D" w:rsidRPr="00D64747" w:rsidRDefault="00B5498D" w:rsidP="00841B3D">
            <w:pPr>
              <w:numPr>
                <w:ilvl w:val="0"/>
                <w:numId w:val="34"/>
              </w:numPr>
              <w:shd w:val="clear" w:color="auto" w:fill="FFFFFF"/>
              <w:spacing w:before="100" w:beforeAutospacing="1" w:after="100" w:afterAutospacing="1" w:line="240" w:lineRule="auto"/>
              <w:rPr>
                <w:rFonts w:eastAsia="Times New Roman" w:cstheme="minorHAnsi"/>
                <w:color w:val="45414E"/>
                <w:lang w:eastAsia="en-NZ"/>
              </w:rPr>
            </w:pPr>
            <w:hyperlink r:id="rId33" w:tgtFrame="_blank" w:history="1">
              <w:r w:rsidR="00841B3D" w:rsidRPr="00D64747">
                <w:rPr>
                  <w:rFonts w:eastAsia="Times New Roman" w:cstheme="minorHAnsi"/>
                  <w:color w:val="0000FF"/>
                  <w:u w:val="single"/>
                  <w:lang w:eastAsia="en-NZ"/>
                </w:rPr>
                <w:t>‍</w:t>
              </w:r>
            </w:hyperlink>
            <w:hyperlink r:id="rId34" w:tgtFrame="_blank" w:history="1">
              <w:r w:rsidR="00841B3D" w:rsidRPr="00D64747">
                <w:rPr>
                  <w:rFonts w:eastAsia="Times New Roman" w:cstheme="minorHAnsi"/>
                  <w:color w:val="0000FF"/>
                  <w:u w:val="single"/>
                  <w:lang w:eastAsia="en-NZ"/>
                </w:rPr>
                <w:t>Cold Chain Temperature Breach Flow Chart</w:t>
              </w:r>
            </w:hyperlink>
          </w:p>
          <w:p w14:paraId="26EDB17D" w14:textId="77777777" w:rsidR="00841B3D" w:rsidRPr="00D64747" w:rsidRDefault="00B5498D" w:rsidP="00841B3D">
            <w:pPr>
              <w:numPr>
                <w:ilvl w:val="0"/>
                <w:numId w:val="34"/>
              </w:numPr>
              <w:shd w:val="clear" w:color="auto" w:fill="FFFFFF"/>
              <w:spacing w:before="100" w:beforeAutospacing="1" w:after="100" w:afterAutospacing="1" w:line="240" w:lineRule="auto"/>
              <w:rPr>
                <w:rFonts w:eastAsia="Times New Roman" w:cstheme="minorHAnsi"/>
                <w:color w:val="45414E"/>
                <w:lang w:eastAsia="en-NZ"/>
              </w:rPr>
            </w:pPr>
            <w:hyperlink r:id="rId35" w:history="1">
              <w:r w:rsidR="00841B3D" w:rsidRPr="00D64747">
                <w:rPr>
                  <w:rFonts w:eastAsia="Times New Roman" w:cstheme="minorHAnsi"/>
                  <w:color w:val="0000FF"/>
                  <w:u w:val="single"/>
                  <w:lang w:eastAsia="en-NZ"/>
                </w:rPr>
                <w:t>Cold Chain Breach or Excursion form</w:t>
              </w:r>
            </w:hyperlink>
          </w:p>
          <w:p w14:paraId="07BEC5C8" w14:textId="77777777" w:rsidR="00841B3D" w:rsidRPr="00D64747" w:rsidRDefault="00841B3D" w:rsidP="00841B3D">
            <w:pPr>
              <w:shd w:val="clear" w:color="auto" w:fill="FFFFFF"/>
              <w:spacing w:after="100" w:afterAutospacing="1" w:line="336" w:lineRule="atLeast"/>
              <w:rPr>
                <w:rFonts w:eastAsia="Times New Roman" w:cstheme="minorHAnsi"/>
                <w:color w:val="000000" w:themeColor="text1"/>
                <w:lang w:eastAsia="en-NZ"/>
              </w:rPr>
            </w:pPr>
            <w:r w:rsidRPr="00D64747">
              <w:rPr>
                <w:rFonts w:eastAsia="Times New Roman" w:cstheme="minorHAnsi"/>
                <w:color w:val="000000" w:themeColor="text1"/>
                <w:lang w:eastAsia="en-NZ"/>
              </w:rPr>
              <w:t>‍</w:t>
            </w:r>
            <w:r w:rsidRPr="00D64747">
              <w:rPr>
                <w:rFonts w:eastAsia="Times New Roman" w:cstheme="minorHAnsi"/>
                <w:b/>
                <w:bCs/>
                <w:color w:val="000000" w:themeColor="text1"/>
                <w:lang w:eastAsia="en-NZ"/>
              </w:rPr>
              <w:t>Supporting materials</w:t>
            </w:r>
          </w:p>
          <w:p w14:paraId="3CB63411" w14:textId="77777777" w:rsidR="00841B3D" w:rsidRPr="00D64747" w:rsidRDefault="00841B3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r w:rsidRPr="00D64747">
              <w:rPr>
                <w:rFonts w:eastAsia="Times New Roman" w:cstheme="minorHAnsi"/>
                <w:color w:val="000000" w:themeColor="text1"/>
                <w:lang w:eastAsia="en-NZ"/>
              </w:rPr>
              <w:t>Recommended contents of the Provider's </w:t>
            </w:r>
            <w:hyperlink r:id="rId36" w:tgtFrame="_blank" w:history="1">
              <w:r w:rsidRPr="00D64747">
                <w:rPr>
                  <w:rFonts w:eastAsia="Times New Roman" w:cstheme="minorHAnsi"/>
                  <w:color w:val="0000FF"/>
                  <w:u w:val="single"/>
                  <w:lang w:eastAsia="en-NZ"/>
                </w:rPr>
                <w:t>cold chain folder</w:t>
              </w:r>
            </w:hyperlink>
            <w:hyperlink r:id="rId37" w:tgtFrame="_blank" w:history="1">
              <w:r w:rsidRPr="00D64747">
                <w:rPr>
                  <w:rFonts w:eastAsia="Times New Roman" w:cstheme="minorHAnsi"/>
                  <w:color w:val="0000FF"/>
                  <w:u w:val="single"/>
                  <w:lang w:eastAsia="en-NZ"/>
                </w:rPr>
                <w:t>‍</w:t>
              </w:r>
            </w:hyperlink>
          </w:p>
          <w:p w14:paraId="34F842AC" w14:textId="77777777" w:rsidR="00841B3D" w:rsidRPr="00D64747" w:rsidRDefault="00B5498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hyperlink r:id="rId38" w:tgtFrame="_blank" w:history="1">
              <w:r w:rsidR="00841B3D" w:rsidRPr="00D64747">
                <w:rPr>
                  <w:rFonts w:eastAsia="Times New Roman" w:cstheme="minorHAnsi"/>
                  <w:color w:val="0000FF"/>
                  <w:u w:val="single"/>
                  <w:lang w:eastAsia="en-NZ"/>
                </w:rPr>
                <w:t>Staff cold chain orientation guide/checklist</w:t>
              </w:r>
            </w:hyperlink>
            <w:hyperlink r:id="rId39" w:tgtFrame="_blank" w:history="1">
              <w:r w:rsidR="00841B3D" w:rsidRPr="00D64747">
                <w:rPr>
                  <w:rFonts w:eastAsia="Times New Roman" w:cstheme="minorHAnsi"/>
                  <w:color w:val="0000FF"/>
                  <w:u w:val="single"/>
                  <w:lang w:eastAsia="en-NZ"/>
                </w:rPr>
                <w:t>‍</w:t>
              </w:r>
            </w:hyperlink>
          </w:p>
          <w:p w14:paraId="332299CD" w14:textId="77777777" w:rsidR="00841B3D" w:rsidRPr="00D64747" w:rsidRDefault="00B5498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hyperlink r:id="rId40" w:tgtFrame="_blank" w:history="1">
              <w:r w:rsidR="00841B3D" w:rsidRPr="00D64747">
                <w:rPr>
                  <w:rFonts w:eastAsia="Times New Roman" w:cstheme="minorHAnsi"/>
                  <w:color w:val="0000FF"/>
                  <w:u w:val="single"/>
                  <w:lang w:eastAsia="en-NZ"/>
                </w:rPr>
                <w:t>Vaccine register template</w:t>
              </w:r>
            </w:hyperlink>
            <w:hyperlink r:id="rId41" w:tgtFrame="_blank" w:history="1">
              <w:r w:rsidR="00841B3D" w:rsidRPr="00D64747">
                <w:rPr>
                  <w:rFonts w:eastAsia="Times New Roman" w:cstheme="minorHAnsi"/>
                  <w:color w:val="0000FF"/>
                  <w:u w:val="single"/>
                  <w:lang w:eastAsia="en-NZ"/>
                </w:rPr>
                <w:t>‍</w:t>
              </w:r>
            </w:hyperlink>
          </w:p>
          <w:p w14:paraId="517314BB" w14:textId="77777777" w:rsidR="00841B3D" w:rsidRPr="00D64747" w:rsidRDefault="00B5498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hyperlink r:id="rId42" w:tgtFrame="_blank" w:history="1">
              <w:r w:rsidR="00841B3D" w:rsidRPr="00D64747">
                <w:rPr>
                  <w:rFonts w:eastAsia="Times New Roman" w:cstheme="minorHAnsi"/>
                  <w:color w:val="0000FF"/>
                  <w:u w:val="single"/>
                  <w:lang w:eastAsia="en-NZ"/>
                </w:rPr>
                <w:t>The essential cold chain - fact sheet</w:t>
              </w:r>
            </w:hyperlink>
            <w:hyperlink r:id="rId43" w:tgtFrame="_blank" w:history="1">
              <w:r w:rsidR="00841B3D" w:rsidRPr="00D64747">
                <w:rPr>
                  <w:rFonts w:eastAsia="Times New Roman" w:cstheme="minorHAnsi"/>
                  <w:color w:val="0000FF"/>
                  <w:u w:val="single"/>
                  <w:lang w:eastAsia="en-NZ"/>
                </w:rPr>
                <w:t>‍</w:t>
              </w:r>
            </w:hyperlink>
          </w:p>
          <w:p w14:paraId="46EF19CF" w14:textId="77777777" w:rsidR="00841B3D" w:rsidRPr="00D64747" w:rsidRDefault="00B5498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hyperlink r:id="rId44" w:tgtFrame="_blank" w:history="1">
              <w:r w:rsidR="00841B3D" w:rsidRPr="00D64747">
                <w:rPr>
                  <w:rFonts w:eastAsia="Times New Roman" w:cstheme="minorHAnsi"/>
                  <w:color w:val="0000FF"/>
                  <w:u w:val="single"/>
                  <w:lang w:eastAsia="en-NZ"/>
                </w:rPr>
                <w:t>Offsite vaccine storage and monitoring essentials</w:t>
              </w:r>
            </w:hyperlink>
            <w:r w:rsidR="00841B3D" w:rsidRPr="00D64747">
              <w:rPr>
                <w:rFonts w:eastAsia="Times New Roman" w:cstheme="minorHAnsi"/>
                <w:color w:val="45414E"/>
                <w:lang w:eastAsia="en-NZ"/>
              </w:rPr>
              <w:t>‍</w:t>
            </w:r>
          </w:p>
          <w:p w14:paraId="5DBDE5CD" w14:textId="77777777" w:rsidR="00841B3D" w:rsidRPr="00D64747" w:rsidRDefault="00841B3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r w:rsidRPr="00D64747">
              <w:rPr>
                <w:rFonts w:eastAsia="Times New Roman" w:cstheme="minorHAnsi"/>
                <w:color w:val="45414E"/>
                <w:lang w:eastAsia="en-NZ"/>
              </w:rPr>
              <w:t>‍</w:t>
            </w:r>
            <w:hyperlink r:id="rId45" w:tgtFrame="_blank" w:history="1">
              <w:r w:rsidRPr="00D64747">
                <w:rPr>
                  <w:rFonts w:eastAsia="Times New Roman" w:cstheme="minorHAnsi"/>
                  <w:color w:val="0000FF"/>
                  <w:u w:val="single"/>
                  <w:lang w:eastAsia="en-NZ"/>
                </w:rPr>
                <w:t>Offsite immunisation programme – chilly bin log template</w:t>
              </w:r>
            </w:hyperlink>
            <w:hyperlink r:id="rId46" w:tgtFrame="_blank" w:history="1">
              <w:r w:rsidRPr="00D64747">
                <w:rPr>
                  <w:rFonts w:eastAsia="Times New Roman" w:cstheme="minorHAnsi"/>
                  <w:color w:val="0000FF"/>
                  <w:u w:val="single"/>
                  <w:lang w:eastAsia="en-NZ"/>
                </w:rPr>
                <w:t>‍</w:t>
              </w:r>
            </w:hyperlink>
          </w:p>
          <w:p w14:paraId="5925CDE0" w14:textId="77777777" w:rsidR="00841B3D" w:rsidRPr="00D64747" w:rsidRDefault="00B5498D" w:rsidP="00841B3D">
            <w:pPr>
              <w:numPr>
                <w:ilvl w:val="0"/>
                <w:numId w:val="35"/>
              </w:numPr>
              <w:shd w:val="clear" w:color="auto" w:fill="FFFFFF"/>
              <w:spacing w:before="100" w:beforeAutospacing="1" w:after="100" w:afterAutospacing="1" w:line="240" w:lineRule="auto"/>
              <w:rPr>
                <w:rFonts w:eastAsia="Times New Roman" w:cstheme="minorHAnsi"/>
                <w:color w:val="000000" w:themeColor="text1"/>
                <w:lang w:eastAsia="en-NZ"/>
              </w:rPr>
            </w:pPr>
            <w:hyperlink r:id="rId47" w:tgtFrame="_blank" w:history="1">
              <w:r w:rsidR="00841B3D" w:rsidRPr="00D64747">
                <w:rPr>
                  <w:rFonts w:eastAsia="Times New Roman" w:cstheme="minorHAnsi"/>
                  <w:color w:val="0000FF"/>
                  <w:u w:val="single"/>
                  <w:lang w:eastAsia="en-NZ"/>
                </w:rPr>
                <w:t>Offsite COOL Project: Stakeholder summary &amp; chilly bin packing protocol for offsite immunisations </w:t>
              </w:r>
            </w:hyperlink>
            <w:r w:rsidR="00841B3D" w:rsidRPr="00D64747">
              <w:rPr>
                <w:rFonts w:eastAsia="Times New Roman" w:cstheme="minorHAnsi"/>
                <w:color w:val="000000" w:themeColor="text1"/>
                <w:lang w:eastAsia="en-NZ"/>
              </w:rPr>
              <w:t>Packing protocol best-practice guidelines.</w:t>
            </w:r>
          </w:p>
          <w:p w14:paraId="3E1A579C" w14:textId="3F84C347" w:rsidR="00841B3D" w:rsidRPr="00841B3D" w:rsidRDefault="00B5498D" w:rsidP="00841B3D">
            <w:pPr>
              <w:numPr>
                <w:ilvl w:val="0"/>
                <w:numId w:val="35"/>
              </w:numPr>
              <w:shd w:val="clear" w:color="auto" w:fill="FFFFFF"/>
              <w:spacing w:before="100" w:beforeAutospacing="1" w:after="100" w:afterAutospacing="1" w:line="240" w:lineRule="auto"/>
              <w:rPr>
                <w:rFonts w:eastAsia="Times New Roman" w:cstheme="minorHAnsi"/>
                <w:color w:val="45414E"/>
                <w:lang w:eastAsia="en-NZ"/>
              </w:rPr>
            </w:pPr>
            <w:hyperlink r:id="rId48" w:history="1">
              <w:r w:rsidR="00841B3D" w:rsidRPr="00D64747">
                <w:rPr>
                  <w:rFonts w:eastAsia="Times New Roman" w:cstheme="minorHAnsi"/>
                  <w:color w:val="0000FF"/>
                  <w:u w:val="single"/>
                  <w:lang w:eastAsia="en-NZ"/>
                </w:rPr>
                <w:t>Packing a chilly bin video</w:t>
              </w:r>
            </w:hyperlink>
          </w:p>
        </w:tc>
      </w:tr>
      <w:tr w:rsidR="00A47B78" w:rsidRPr="001719D0" w14:paraId="1742EE8D" w14:textId="77777777" w:rsidTr="000F1EE9">
        <w:tc>
          <w:tcPr>
            <w:tcW w:w="786" w:type="pct"/>
          </w:tcPr>
          <w:p w14:paraId="20117A76" w14:textId="69E27265" w:rsidR="00A47B78" w:rsidRPr="001719D0" w:rsidRDefault="00A47B78" w:rsidP="000C15C9">
            <w:pPr>
              <w:rPr>
                <w:rFonts w:ascii="Calibri" w:hAnsi="Calibri"/>
                <w:b/>
              </w:rPr>
            </w:pPr>
            <w:r>
              <w:rPr>
                <w:rFonts w:ascii="Calibri" w:hAnsi="Calibri"/>
                <w:b/>
              </w:rPr>
              <w:lastRenderedPageBreak/>
              <w:t xml:space="preserve">Vaccine </w:t>
            </w:r>
            <w:r w:rsidR="00A66679">
              <w:rPr>
                <w:rFonts w:ascii="Calibri" w:hAnsi="Calibri"/>
                <w:b/>
              </w:rPr>
              <w:t>Incident</w:t>
            </w:r>
          </w:p>
        </w:tc>
        <w:tc>
          <w:tcPr>
            <w:tcW w:w="4214" w:type="pct"/>
          </w:tcPr>
          <w:p w14:paraId="295385AD" w14:textId="2117A90E" w:rsidR="00A66679" w:rsidRPr="001239C0" w:rsidRDefault="00A66679" w:rsidP="00A66679">
            <w:pPr>
              <w:pStyle w:val="NormalWeb"/>
              <w:shd w:val="clear" w:color="auto" w:fill="FFFFFF"/>
              <w:spacing w:before="0" w:beforeAutospacing="0" w:line="336" w:lineRule="atLeast"/>
              <w:rPr>
                <w:rFonts w:asciiTheme="minorHAnsi" w:hAnsiTheme="minorHAnsi" w:cstheme="minorHAnsi"/>
                <w:color w:val="000000" w:themeColor="text1"/>
                <w:sz w:val="22"/>
                <w:szCs w:val="22"/>
              </w:rPr>
            </w:pPr>
            <w:r w:rsidRPr="001239C0">
              <w:rPr>
                <w:rFonts w:asciiTheme="minorHAnsi" w:hAnsiTheme="minorHAnsi" w:cstheme="minorHAnsi"/>
                <w:color w:val="000000" w:themeColor="text1"/>
                <w:sz w:val="22"/>
                <w:szCs w:val="22"/>
              </w:rPr>
              <w:t xml:space="preserve">All incidents/errors/near misses should be reported to your manager/organisation, and a local incident review should be undertaken to help understand what happened and how it can best be prevented in </w:t>
            </w:r>
            <w:r w:rsidR="0088436A" w:rsidRPr="001239C0">
              <w:rPr>
                <w:rFonts w:asciiTheme="minorHAnsi" w:hAnsiTheme="minorHAnsi" w:cstheme="minorHAnsi"/>
                <w:color w:val="000000" w:themeColor="text1"/>
                <w:sz w:val="22"/>
                <w:szCs w:val="22"/>
              </w:rPr>
              <w:t>future. Full</w:t>
            </w:r>
            <w:r w:rsidRPr="001239C0">
              <w:rPr>
                <w:rFonts w:asciiTheme="minorHAnsi" w:hAnsiTheme="minorHAnsi" w:cstheme="minorHAnsi"/>
                <w:color w:val="000000" w:themeColor="text1"/>
                <w:sz w:val="22"/>
                <w:szCs w:val="22"/>
              </w:rPr>
              <w:t xml:space="preserve"> information on the incident should be shared with your IMAC Regional Advisor and Immunisation Coordinator. All reports will be treated in confidence, but if preferred identifying information can be removed. Clinical advice can be provided by calling 0800 IMMUNE (0800 466</w:t>
            </w:r>
            <w:r w:rsidR="00D64747">
              <w:rPr>
                <w:rFonts w:asciiTheme="minorHAnsi" w:hAnsiTheme="minorHAnsi" w:cstheme="minorHAnsi"/>
                <w:color w:val="000000" w:themeColor="text1"/>
                <w:sz w:val="22"/>
                <w:szCs w:val="22"/>
              </w:rPr>
              <w:t xml:space="preserve"> </w:t>
            </w:r>
            <w:r w:rsidRPr="001239C0">
              <w:rPr>
                <w:rFonts w:asciiTheme="minorHAnsi" w:hAnsiTheme="minorHAnsi" w:cstheme="minorHAnsi"/>
                <w:color w:val="000000" w:themeColor="text1"/>
                <w:sz w:val="22"/>
                <w:szCs w:val="22"/>
              </w:rPr>
              <w:t>863).</w:t>
            </w:r>
          </w:p>
          <w:p w14:paraId="043C178A" w14:textId="77777777" w:rsidR="00A66679" w:rsidRDefault="00A66679" w:rsidP="00A66679">
            <w:pPr>
              <w:pStyle w:val="NormalWeb"/>
              <w:shd w:val="clear" w:color="auto" w:fill="FFFFFF"/>
              <w:spacing w:before="0" w:beforeAutospacing="0" w:line="336" w:lineRule="atLeast"/>
              <w:rPr>
                <w:rFonts w:asciiTheme="minorHAnsi" w:hAnsiTheme="minorHAnsi" w:cstheme="minorHAnsi"/>
                <w:color w:val="000000" w:themeColor="text1"/>
                <w:sz w:val="22"/>
                <w:szCs w:val="22"/>
              </w:rPr>
            </w:pPr>
            <w:r w:rsidRPr="001239C0">
              <w:rPr>
                <w:rFonts w:asciiTheme="minorHAnsi" w:hAnsiTheme="minorHAnsi" w:cstheme="minorHAnsi"/>
                <w:color w:val="000000" w:themeColor="text1"/>
                <w:sz w:val="22"/>
                <w:szCs w:val="22"/>
              </w:rPr>
              <w:t>This form gathers all the necessary information to ensure appropriate and timely advice can be provided. The NIP incident notification template can be used, or if your organisation has a similar form that will be acceptable for IMAC purposes as well.</w:t>
            </w:r>
          </w:p>
          <w:p w14:paraId="5993D443" w14:textId="43EC8035" w:rsidR="004B2EA1" w:rsidRPr="007B3BC4" w:rsidRDefault="007B3BC4" w:rsidP="007B3BC4">
            <w:pPr>
              <w:pStyle w:val="NormalWeb"/>
              <w:shd w:val="clear" w:color="auto" w:fill="FFFFFF"/>
              <w:spacing w:before="0" w:beforeAutospacing="0" w:line="336" w:lineRule="atLeast"/>
              <w:rPr>
                <w:rStyle w:val="Strong"/>
                <w:rFonts w:asciiTheme="minorHAnsi" w:hAnsiTheme="minorHAnsi" w:cstheme="minorHAnsi"/>
                <w:b w:val="0"/>
                <w:bCs w:val="0"/>
                <w:color w:val="000000" w:themeColor="text1"/>
                <w:sz w:val="22"/>
                <w:szCs w:val="22"/>
              </w:rPr>
            </w:pPr>
            <w:hyperlink r:id="rId49" w:history="1">
              <w:r w:rsidRPr="007B3BC4">
                <w:rPr>
                  <w:rStyle w:val="Hyperlink"/>
                  <w:rFonts w:asciiTheme="minorHAnsi" w:hAnsiTheme="minorHAnsi" w:cstheme="minorHAnsi"/>
                  <w:sz w:val="22"/>
                  <w:szCs w:val="22"/>
                </w:rPr>
                <w:t>IMAC Vaccine Incident Reporting Form</w:t>
              </w:r>
            </w:hyperlink>
            <w:r>
              <w:rPr>
                <w:rFonts w:asciiTheme="minorHAnsi" w:hAnsiTheme="minorHAnsi" w:cstheme="minorHAnsi"/>
                <w:color w:val="000000" w:themeColor="text1"/>
                <w:sz w:val="22"/>
                <w:szCs w:val="22"/>
              </w:rPr>
              <w:br/>
            </w:r>
          </w:p>
        </w:tc>
      </w:tr>
      <w:tr w:rsidR="000C15C9" w:rsidRPr="001719D0" w14:paraId="54EC8C70" w14:textId="77777777" w:rsidTr="000F1EE9">
        <w:tc>
          <w:tcPr>
            <w:tcW w:w="786" w:type="pct"/>
          </w:tcPr>
          <w:p w14:paraId="1201BEAA" w14:textId="5AC7C277" w:rsidR="000C15C9" w:rsidRPr="001719D0" w:rsidRDefault="000C15C9" w:rsidP="000C15C9">
            <w:r w:rsidRPr="001719D0">
              <w:rPr>
                <w:rFonts w:ascii="Calibri" w:hAnsi="Calibri"/>
                <w:b/>
              </w:rPr>
              <w:t>Resources</w:t>
            </w:r>
          </w:p>
        </w:tc>
        <w:tc>
          <w:tcPr>
            <w:tcW w:w="4214" w:type="pct"/>
          </w:tcPr>
          <w:p w14:paraId="368618F4" w14:textId="24A76F9F" w:rsidR="000C15C9" w:rsidRPr="00EA563F" w:rsidRDefault="00EA563F" w:rsidP="0085758B">
            <w:pPr>
              <w:pStyle w:val="ListParagraph"/>
              <w:numPr>
                <w:ilvl w:val="0"/>
                <w:numId w:val="10"/>
              </w:numPr>
              <w:spacing w:after="0" w:line="240" w:lineRule="auto"/>
              <w:ind w:left="464" w:hanging="464"/>
              <w:jc w:val="both"/>
              <w:rPr>
                <w:rStyle w:val="Hyperlink"/>
              </w:rPr>
            </w:pPr>
            <w:r>
              <w:fldChar w:fldCharType="begin"/>
            </w:r>
            <w:r>
              <w:instrText>HYPERLINK "https://www.tewhatuora.govt.nz/for-health-professionals/clinical-guidance/immunisation-handbook/5-coronavirus-disease-covid-19/"</w:instrText>
            </w:r>
            <w:r>
              <w:fldChar w:fldCharType="separate"/>
            </w:r>
            <w:r w:rsidR="000C15C9" w:rsidRPr="00EA563F">
              <w:rPr>
                <w:rStyle w:val="Hyperlink"/>
              </w:rPr>
              <w:t>Ministry of Health Immunisation Handbook 202</w:t>
            </w:r>
            <w:r w:rsidRPr="00EA563F">
              <w:rPr>
                <w:rStyle w:val="Hyperlink"/>
              </w:rPr>
              <w:t>4</w:t>
            </w:r>
          </w:p>
          <w:p w14:paraId="51782B78" w14:textId="50FADD8B" w:rsidR="000C15C9" w:rsidRPr="001719D0" w:rsidRDefault="00EA563F" w:rsidP="00E808EC">
            <w:pPr>
              <w:pStyle w:val="ListParagraph"/>
              <w:numPr>
                <w:ilvl w:val="0"/>
                <w:numId w:val="10"/>
              </w:numPr>
              <w:spacing w:after="0" w:line="240" w:lineRule="auto"/>
              <w:ind w:left="464" w:hanging="464"/>
              <w:jc w:val="both"/>
            </w:pPr>
            <w:r>
              <w:fldChar w:fldCharType="end"/>
            </w:r>
            <w:hyperlink r:id="rId50" w:history="1">
              <w:r w:rsidR="00746350" w:rsidRPr="00BA1905">
                <w:rPr>
                  <w:rStyle w:val="Hyperlink"/>
                </w:rPr>
                <w:t>The Immunisation Advisory Centre (IMAC)</w:t>
              </w:r>
            </w:hyperlink>
          </w:p>
          <w:p w14:paraId="50631154" w14:textId="7E025675" w:rsidR="000C15C9" w:rsidRPr="001719D0" w:rsidRDefault="00B5498D" w:rsidP="00E808EC">
            <w:pPr>
              <w:pStyle w:val="ListParagraph"/>
              <w:numPr>
                <w:ilvl w:val="0"/>
                <w:numId w:val="10"/>
              </w:numPr>
              <w:spacing w:after="0" w:line="240" w:lineRule="auto"/>
              <w:ind w:left="464" w:hanging="464"/>
              <w:jc w:val="both"/>
            </w:pPr>
            <w:hyperlink r:id="rId51" w:history="1">
              <w:r w:rsidR="000C15C9" w:rsidRPr="00746350">
                <w:rPr>
                  <w:rStyle w:val="Hyperlink"/>
                </w:rPr>
                <w:t>Foundation Standard</w:t>
              </w:r>
              <w:r w:rsidR="006847E2" w:rsidRPr="00746350">
                <w:rPr>
                  <w:rStyle w:val="Hyperlink"/>
                </w:rPr>
                <w:t>s</w:t>
              </w:r>
            </w:hyperlink>
          </w:p>
          <w:p w14:paraId="67FC4B95" w14:textId="217DA08F" w:rsidR="007104E3" w:rsidRPr="001719D0" w:rsidRDefault="00B5498D" w:rsidP="008704FC">
            <w:pPr>
              <w:pStyle w:val="ListParagraph"/>
              <w:numPr>
                <w:ilvl w:val="0"/>
                <w:numId w:val="10"/>
              </w:numPr>
              <w:ind w:left="464" w:hanging="464"/>
            </w:pPr>
            <w:hyperlink r:id="rId52" w:history="1">
              <w:r w:rsidR="008704FC" w:rsidRPr="00B5498D">
                <w:rPr>
                  <w:rStyle w:val="Hyperlink"/>
                </w:rPr>
                <w:t>Essentials for Effective Immunisation in Primary Health Care. Third Edition, 2017</w:t>
              </w:r>
            </w:hyperlink>
            <w:r w:rsidR="00F70AEC">
              <w:t xml:space="preserve"> (currently being updated)</w:t>
            </w:r>
          </w:p>
        </w:tc>
      </w:tr>
    </w:tbl>
    <w:p w14:paraId="1EC99A76" w14:textId="77777777" w:rsidR="00B03987" w:rsidRDefault="00B03987" w:rsidP="00CC65C5">
      <w:pPr>
        <w:rPr>
          <w:rFonts w:ascii="Calibri Light" w:hAnsi="Calibri Light"/>
          <w:sz w:val="18"/>
          <w:szCs w:val="18"/>
        </w:rPr>
      </w:pPr>
    </w:p>
    <w:tbl>
      <w:tblPr>
        <w:tblStyle w:val="TableGrid"/>
        <w:tblW w:w="5000" w:type="pct"/>
        <w:tblLook w:val="04A0" w:firstRow="1" w:lastRow="0" w:firstColumn="1" w:lastColumn="0" w:noHBand="0" w:noVBand="1"/>
      </w:tblPr>
      <w:tblGrid>
        <w:gridCol w:w="5228"/>
        <w:gridCol w:w="5228"/>
      </w:tblGrid>
      <w:tr w:rsidR="00CC65C5" w:rsidRPr="00875DE8" w14:paraId="5C575A80" w14:textId="77777777" w:rsidTr="008A0808">
        <w:trPr>
          <w:trHeight w:val="584"/>
        </w:trPr>
        <w:tc>
          <w:tcPr>
            <w:tcW w:w="2500" w:type="pct"/>
            <w:vAlign w:val="center"/>
          </w:tcPr>
          <w:p w14:paraId="2C04F59D" w14:textId="1BD4650A" w:rsidR="00CC65C5" w:rsidRPr="00875DE8" w:rsidRDefault="00CC65C5" w:rsidP="008A0808">
            <w:pPr>
              <w:spacing w:after="0" w:line="240" w:lineRule="auto"/>
              <w:rPr>
                <w:rFonts w:cstheme="minorHAnsi"/>
              </w:rPr>
            </w:pPr>
            <w:r w:rsidRPr="00875DE8">
              <w:rPr>
                <w:rFonts w:cstheme="minorHAnsi"/>
              </w:rPr>
              <w:t xml:space="preserve">Title: </w:t>
            </w:r>
          </w:p>
        </w:tc>
        <w:tc>
          <w:tcPr>
            <w:tcW w:w="2500" w:type="pct"/>
            <w:vAlign w:val="center"/>
          </w:tcPr>
          <w:p w14:paraId="554F4001" w14:textId="3E34ED07" w:rsidR="00CC65C5" w:rsidRPr="00875DE8" w:rsidRDefault="008A0808" w:rsidP="008A0808">
            <w:pPr>
              <w:spacing w:after="0" w:line="240" w:lineRule="auto"/>
              <w:rPr>
                <w:rFonts w:cstheme="minorHAnsi"/>
              </w:rPr>
            </w:pPr>
            <w:r w:rsidRPr="00875DE8">
              <w:rPr>
                <w:rFonts w:cstheme="minorHAnsi"/>
              </w:rPr>
              <w:t xml:space="preserve">Immunisation </w:t>
            </w:r>
            <w:r>
              <w:rPr>
                <w:rFonts w:cstheme="minorHAnsi"/>
              </w:rPr>
              <w:t>P</w:t>
            </w:r>
            <w:r w:rsidRPr="00875DE8">
              <w:rPr>
                <w:rFonts w:cstheme="minorHAnsi"/>
              </w:rPr>
              <w:t xml:space="preserve">olicy &amp; </w:t>
            </w:r>
            <w:r>
              <w:rPr>
                <w:rFonts w:cstheme="minorHAnsi"/>
              </w:rPr>
              <w:t>P</w:t>
            </w:r>
            <w:r w:rsidRPr="00875DE8">
              <w:rPr>
                <w:rFonts w:cstheme="minorHAnsi"/>
              </w:rPr>
              <w:t>rocedure</w:t>
            </w:r>
          </w:p>
        </w:tc>
      </w:tr>
      <w:tr w:rsidR="00CC65C5" w:rsidRPr="00875DE8" w14:paraId="2E8813CA" w14:textId="77777777" w:rsidTr="008A0808">
        <w:trPr>
          <w:trHeight w:val="539"/>
        </w:trPr>
        <w:tc>
          <w:tcPr>
            <w:tcW w:w="2500" w:type="pct"/>
            <w:vAlign w:val="center"/>
          </w:tcPr>
          <w:p w14:paraId="1E37CF2C" w14:textId="77777777" w:rsidR="00CC65C5" w:rsidRPr="00875DE8" w:rsidRDefault="00CC65C5" w:rsidP="008A0808">
            <w:pPr>
              <w:spacing w:after="0"/>
              <w:rPr>
                <w:rFonts w:cstheme="minorHAnsi"/>
              </w:rPr>
            </w:pPr>
            <w:r w:rsidRPr="00875DE8">
              <w:rPr>
                <w:rFonts w:cstheme="minorHAnsi"/>
              </w:rPr>
              <w:t>Authorised:</w:t>
            </w:r>
          </w:p>
        </w:tc>
        <w:tc>
          <w:tcPr>
            <w:tcW w:w="2500" w:type="pct"/>
            <w:vAlign w:val="center"/>
          </w:tcPr>
          <w:p w14:paraId="5E138953" w14:textId="2B23632B" w:rsidR="00CC65C5" w:rsidRPr="00875DE8" w:rsidRDefault="00B03987" w:rsidP="008A0808">
            <w:pPr>
              <w:spacing w:after="0"/>
              <w:rPr>
                <w:rFonts w:cstheme="minorHAnsi"/>
              </w:rPr>
            </w:pPr>
            <w:r>
              <w:rPr>
                <w:rFonts w:cstheme="minorHAnsi"/>
              </w:rPr>
              <w:t>Shanaz Khan-Immunisation Coordinator</w:t>
            </w:r>
          </w:p>
        </w:tc>
      </w:tr>
      <w:tr w:rsidR="00CC65C5" w:rsidRPr="00875DE8" w14:paraId="20FA038A" w14:textId="77777777" w:rsidTr="008A0808">
        <w:trPr>
          <w:trHeight w:val="728"/>
        </w:trPr>
        <w:tc>
          <w:tcPr>
            <w:tcW w:w="2500" w:type="pct"/>
          </w:tcPr>
          <w:p w14:paraId="3850D2CE" w14:textId="77777777" w:rsidR="00CC65C5" w:rsidRDefault="00CC65C5" w:rsidP="00970AAD">
            <w:pPr>
              <w:rPr>
                <w:rFonts w:cstheme="minorHAnsi"/>
              </w:rPr>
            </w:pPr>
            <w:r w:rsidRPr="00875DE8">
              <w:rPr>
                <w:rFonts w:cstheme="minorHAnsi"/>
              </w:rPr>
              <w:t>Review date:</w:t>
            </w:r>
          </w:p>
          <w:p w14:paraId="356BEFAB" w14:textId="7D7BE244" w:rsidR="00B03987" w:rsidRPr="00875DE8" w:rsidRDefault="00B03987" w:rsidP="00970AAD">
            <w:pPr>
              <w:rPr>
                <w:rFonts w:cstheme="minorHAnsi"/>
              </w:rPr>
            </w:pPr>
            <w:r>
              <w:rPr>
                <w:rFonts w:cstheme="minorHAnsi"/>
              </w:rPr>
              <w:t>January 2023</w:t>
            </w:r>
          </w:p>
        </w:tc>
        <w:tc>
          <w:tcPr>
            <w:tcW w:w="2500" w:type="pct"/>
          </w:tcPr>
          <w:p w14:paraId="08D6514F" w14:textId="77777777" w:rsidR="00CC65C5" w:rsidRPr="00875DE8" w:rsidRDefault="00CC65C5" w:rsidP="00970AAD">
            <w:pPr>
              <w:rPr>
                <w:rFonts w:cstheme="minorHAnsi"/>
              </w:rPr>
            </w:pPr>
            <w:r w:rsidRPr="00875DE8">
              <w:rPr>
                <w:rFonts w:cstheme="minorHAnsi"/>
              </w:rPr>
              <w:t>Signature</w:t>
            </w:r>
          </w:p>
        </w:tc>
      </w:tr>
      <w:tr w:rsidR="00CC65C5" w:rsidRPr="00875DE8" w14:paraId="3A70E8F0" w14:textId="77777777" w:rsidTr="008A0808">
        <w:trPr>
          <w:trHeight w:val="791"/>
        </w:trPr>
        <w:tc>
          <w:tcPr>
            <w:tcW w:w="2500" w:type="pct"/>
          </w:tcPr>
          <w:p w14:paraId="7EF70B4C" w14:textId="77777777" w:rsidR="00CC65C5" w:rsidRDefault="00CC65C5" w:rsidP="00970AAD">
            <w:pPr>
              <w:rPr>
                <w:rFonts w:cstheme="minorHAnsi"/>
              </w:rPr>
            </w:pPr>
            <w:r w:rsidRPr="00875DE8">
              <w:rPr>
                <w:rFonts w:cstheme="minorHAnsi"/>
              </w:rPr>
              <w:t>Review Date:</w:t>
            </w:r>
          </w:p>
          <w:p w14:paraId="326695AF" w14:textId="1F929A66" w:rsidR="00B03987" w:rsidRPr="00875DE8" w:rsidRDefault="00B03987" w:rsidP="00970AAD">
            <w:pPr>
              <w:rPr>
                <w:rFonts w:cstheme="minorHAnsi"/>
              </w:rPr>
            </w:pPr>
            <w:r>
              <w:rPr>
                <w:rFonts w:cstheme="minorHAnsi"/>
              </w:rPr>
              <w:t>July 2024</w:t>
            </w:r>
          </w:p>
        </w:tc>
        <w:tc>
          <w:tcPr>
            <w:tcW w:w="2500" w:type="pct"/>
          </w:tcPr>
          <w:p w14:paraId="2489182B" w14:textId="77777777" w:rsidR="00CC65C5" w:rsidRPr="00875DE8" w:rsidRDefault="00CC65C5" w:rsidP="00970AAD">
            <w:pPr>
              <w:rPr>
                <w:rFonts w:cstheme="minorHAnsi"/>
              </w:rPr>
            </w:pPr>
            <w:r w:rsidRPr="00875DE8">
              <w:rPr>
                <w:rFonts w:cstheme="minorHAnsi"/>
              </w:rPr>
              <w:t>Signature</w:t>
            </w:r>
          </w:p>
        </w:tc>
      </w:tr>
    </w:tbl>
    <w:p w14:paraId="313AAAAB" w14:textId="19EBBA28" w:rsidR="00CC65C5" w:rsidRDefault="00CC65C5" w:rsidP="007104E3">
      <w:pPr>
        <w:spacing w:after="160" w:line="259" w:lineRule="auto"/>
        <w:sectPr w:rsidR="00CC65C5" w:rsidSect="000F1EE9">
          <w:footerReference w:type="default" r:id="rId53"/>
          <w:headerReference w:type="first" r:id="rId54"/>
          <w:footerReference w:type="first" r:id="rId55"/>
          <w:pgSz w:w="11906" w:h="16838"/>
          <w:pgMar w:top="720" w:right="720" w:bottom="720" w:left="720" w:header="708" w:footer="708" w:gutter="0"/>
          <w:cols w:space="708"/>
          <w:titlePg/>
          <w:docGrid w:linePitch="360"/>
        </w:sectPr>
      </w:pPr>
    </w:p>
    <w:p w14:paraId="4946EE0F" w14:textId="6A1F84AC" w:rsidR="00DC1C2F" w:rsidRPr="00DC1C2F" w:rsidRDefault="00DD4F95" w:rsidP="00875DE8">
      <w:pPr>
        <w:pStyle w:val="Heading2"/>
      </w:pPr>
      <w:r>
        <w:lastRenderedPageBreak/>
        <w:t xml:space="preserve">Appendix 1: </w:t>
      </w:r>
      <w:r w:rsidR="00DC1C2F">
        <w:t>Checklist</w:t>
      </w:r>
    </w:p>
    <w:tbl>
      <w:tblPr>
        <w:tblStyle w:val="ListTable3-Accent1"/>
        <w:tblW w:w="4990" w:type="pct"/>
        <w:tblLook w:val="0020" w:firstRow="1" w:lastRow="0" w:firstColumn="0" w:lastColumn="0" w:noHBand="0" w:noVBand="0"/>
      </w:tblPr>
      <w:tblGrid>
        <w:gridCol w:w="6835"/>
        <w:gridCol w:w="3600"/>
      </w:tblGrid>
      <w:tr w:rsidR="00224C4F" w:rsidRPr="00224C4F" w14:paraId="7BB35FB5" w14:textId="77777777" w:rsidTr="00B319C0">
        <w:trPr>
          <w:cnfStyle w:val="100000000000" w:firstRow="1" w:lastRow="0" w:firstColumn="0" w:lastColumn="0" w:oddVBand="0" w:evenVBand="0" w:oddHBand="0" w:evenHBand="0" w:firstRowFirstColumn="0" w:firstRowLastColumn="0" w:lastRowFirstColumn="0" w:lastRowLastColumn="0"/>
          <w:trHeight w:val="520"/>
          <w:tblHeader/>
        </w:trPr>
        <w:tc>
          <w:tcPr>
            <w:cnfStyle w:val="000010000000" w:firstRow="0" w:lastRow="0" w:firstColumn="0" w:lastColumn="0" w:oddVBand="1" w:evenVBand="0" w:oddHBand="0" w:evenHBand="0" w:firstRowFirstColumn="0" w:firstRowLastColumn="0" w:lastRowFirstColumn="0" w:lastRowLastColumn="0"/>
            <w:tcW w:w="3275" w:type="pct"/>
          </w:tcPr>
          <w:p w14:paraId="68AA6123" w14:textId="18D4B67B" w:rsidR="00224C4F" w:rsidRPr="00C8619F" w:rsidRDefault="00C8619F" w:rsidP="00C8619F">
            <w:pPr>
              <w:pStyle w:val="Heading2"/>
              <w:rPr>
                <w:rFonts w:asciiTheme="minorHAnsi" w:hAnsiTheme="minorHAnsi"/>
                <w:color w:val="FFFFFF" w:themeColor="background1"/>
                <w:sz w:val="22"/>
                <w:szCs w:val="22"/>
              </w:rPr>
            </w:pPr>
            <w:r w:rsidRPr="00C8619F">
              <w:rPr>
                <w:color w:val="FFFFFF" w:themeColor="background1"/>
              </w:rPr>
              <w:t>Check</w:t>
            </w:r>
          </w:p>
        </w:tc>
        <w:tc>
          <w:tcPr>
            <w:tcW w:w="1725" w:type="pct"/>
          </w:tcPr>
          <w:p w14:paraId="77A7CEBF" w14:textId="1984040C" w:rsidR="00224C4F" w:rsidRPr="00C8619F" w:rsidRDefault="00224C4F" w:rsidP="00C8619F">
            <w:pPr>
              <w:pStyle w:val="Heading2"/>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C8619F">
              <w:rPr>
                <w:color w:val="FFFFFF" w:themeColor="background1"/>
              </w:rPr>
              <w:t>Action</w:t>
            </w:r>
          </w:p>
        </w:tc>
      </w:tr>
      <w:tr w:rsidR="00224C4F" w:rsidRPr="00224C4F" w14:paraId="4C6958A6" w14:textId="77777777" w:rsidTr="00B319C0">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3275" w:type="pct"/>
          </w:tcPr>
          <w:p w14:paraId="6C2B64DE" w14:textId="77777777" w:rsidR="00224C4F" w:rsidRPr="00DC1C2F" w:rsidRDefault="00224C4F" w:rsidP="00C8619F">
            <w:pPr>
              <w:numPr>
                <w:ilvl w:val="0"/>
                <w:numId w:val="15"/>
              </w:numPr>
              <w:tabs>
                <w:tab w:val="left" w:pos="483"/>
              </w:tabs>
              <w:kinsoku w:val="0"/>
              <w:overflowPunct w:val="0"/>
              <w:autoSpaceDE w:val="0"/>
              <w:autoSpaceDN w:val="0"/>
              <w:adjustRightInd w:val="0"/>
              <w:spacing w:after="0" w:line="240" w:lineRule="auto"/>
              <w:ind w:right="150"/>
              <w:rPr>
                <w:rFonts w:cstheme="minorHAnsi"/>
                <w:spacing w:val="-2"/>
              </w:rPr>
            </w:pPr>
            <w:r w:rsidRPr="00DC1C2F">
              <w:rPr>
                <w:rFonts w:cstheme="minorHAnsi"/>
              </w:rPr>
              <w:t>The</w:t>
            </w:r>
            <w:r w:rsidRPr="00DC1C2F">
              <w:rPr>
                <w:rFonts w:cstheme="minorHAnsi"/>
                <w:spacing w:val="-8"/>
              </w:rPr>
              <w:t xml:space="preserve"> </w:t>
            </w:r>
            <w:r w:rsidRPr="00DC1C2F">
              <w:rPr>
                <w:rFonts w:cstheme="minorHAnsi"/>
              </w:rPr>
              <w:t>practice</w:t>
            </w:r>
            <w:r w:rsidRPr="00DC1C2F">
              <w:rPr>
                <w:rFonts w:cstheme="minorHAnsi"/>
                <w:spacing w:val="-7"/>
              </w:rPr>
              <w:t xml:space="preserve"> </w:t>
            </w:r>
            <w:r w:rsidRPr="00DC1C2F">
              <w:rPr>
                <w:rFonts w:cstheme="minorHAnsi"/>
              </w:rPr>
              <w:t>has</w:t>
            </w:r>
            <w:r w:rsidRPr="00DC1C2F">
              <w:rPr>
                <w:rFonts w:cstheme="minorHAnsi"/>
                <w:spacing w:val="-7"/>
              </w:rPr>
              <w:t xml:space="preserve"> </w:t>
            </w:r>
            <w:r w:rsidRPr="00DC1C2F">
              <w:rPr>
                <w:rFonts w:cstheme="minorHAnsi"/>
              </w:rPr>
              <w:t>a</w:t>
            </w:r>
            <w:r w:rsidRPr="00DC1C2F">
              <w:rPr>
                <w:rFonts w:cstheme="minorHAnsi"/>
                <w:spacing w:val="-10"/>
              </w:rPr>
              <w:t xml:space="preserve"> </w:t>
            </w:r>
            <w:r w:rsidRPr="00DC1C2F">
              <w:rPr>
                <w:rFonts w:cstheme="minorHAnsi"/>
              </w:rPr>
              <w:t>current</w:t>
            </w:r>
            <w:r w:rsidRPr="00DC1C2F">
              <w:rPr>
                <w:rFonts w:cstheme="minorHAnsi"/>
                <w:spacing w:val="-8"/>
              </w:rPr>
              <w:t xml:space="preserve"> </w:t>
            </w:r>
            <w:r w:rsidRPr="00DC1C2F">
              <w:rPr>
                <w:rFonts w:cstheme="minorHAnsi"/>
              </w:rPr>
              <w:t>immunisation</w:t>
            </w:r>
            <w:r w:rsidRPr="00DC1C2F">
              <w:rPr>
                <w:rFonts w:cstheme="minorHAnsi"/>
                <w:spacing w:val="-8"/>
              </w:rPr>
              <w:t xml:space="preserve"> </w:t>
            </w:r>
            <w:r w:rsidRPr="00DC1C2F">
              <w:rPr>
                <w:rFonts w:cstheme="minorHAnsi"/>
              </w:rPr>
              <w:t>policy,</w:t>
            </w:r>
            <w:r w:rsidRPr="00DC1C2F">
              <w:rPr>
                <w:rFonts w:cstheme="minorHAnsi"/>
                <w:spacing w:val="-8"/>
              </w:rPr>
              <w:t xml:space="preserve"> </w:t>
            </w:r>
            <w:r w:rsidRPr="00DC1C2F">
              <w:rPr>
                <w:rFonts w:cstheme="minorHAnsi"/>
              </w:rPr>
              <w:t>which</w:t>
            </w:r>
            <w:r w:rsidRPr="00DC1C2F">
              <w:rPr>
                <w:rFonts w:cstheme="minorHAnsi"/>
                <w:spacing w:val="-9"/>
              </w:rPr>
              <w:t xml:space="preserve"> </w:t>
            </w:r>
            <w:r w:rsidRPr="00DC1C2F">
              <w:rPr>
                <w:rFonts w:cstheme="minorHAnsi"/>
              </w:rPr>
              <w:t>is</w:t>
            </w:r>
            <w:r w:rsidRPr="00DC1C2F">
              <w:rPr>
                <w:rFonts w:cstheme="minorHAnsi"/>
                <w:spacing w:val="-6"/>
              </w:rPr>
              <w:t xml:space="preserve"> </w:t>
            </w:r>
            <w:r w:rsidRPr="00DC1C2F">
              <w:rPr>
                <w:rFonts w:cstheme="minorHAnsi"/>
              </w:rPr>
              <w:t xml:space="preserve">updated </w:t>
            </w:r>
            <w:r w:rsidRPr="00DC1C2F">
              <w:rPr>
                <w:rFonts w:cstheme="minorHAnsi"/>
                <w:spacing w:val="-2"/>
              </w:rPr>
              <w:t>annually.</w:t>
            </w:r>
          </w:p>
        </w:tc>
        <w:tc>
          <w:tcPr>
            <w:tcW w:w="1725" w:type="pct"/>
          </w:tcPr>
          <w:p w14:paraId="69A3CFD7" w14:textId="77777777" w:rsidR="00224C4F" w:rsidRPr="00DC1C2F" w:rsidRDefault="00224C4F" w:rsidP="00C8619F">
            <w:pPr>
              <w:kinsoku w:val="0"/>
              <w:overflowPunct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24C4F" w:rsidRPr="00224C4F" w14:paraId="1AB66296" w14:textId="77777777" w:rsidTr="00B319C0">
        <w:trPr>
          <w:trHeight w:val="652"/>
        </w:trPr>
        <w:tc>
          <w:tcPr>
            <w:cnfStyle w:val="000010000000" w:firstRow="0" w:lastRow="0" w:firstColumn="0" w:lastColumn="0" w:oddVBand="1" w:evenVBand="0" w:oddHBand="0" w:evenHBand="0" w:firstRowFirstColumn="0" w:firstRowLastColumn="0" w:lastRowFirstColumn="0" w:lastRowLastColumn="0"/>
            <w:tcW w:w="3275" w:type="pct"/>
          </w:tcPr>
          <w:p w14:paraId="01472221" w14:textId="5A2E0721" w:rsidR="00224C4F" w:rsidRPr="00DC1C2F" w:rsidRDefault="00224C4F" w:rsidP="00C8619F">
            <w:pPr>
              <w:numPr>
                <w:ilvl w:val="0"/>
                <w:numId w:val="14"/>
              </w:numPr>
              <w:tabs>
                <w:tab w:val="left" w:pos="483"/>
              </w:tabs>
              <w:kinsoku w:val="0"/>
              <w:overflowPunct w:val="0"/>
              <w:autoSpaceDE w:val="0"/>
              <w:autoSpaceDN w:val="0"/>
              <w:adjustRightInd w:val="0"/>
              <w:spacing w:after="0" w:line="240" w:lineRule="auto"/>
              <w:rPr>
                <w:rFonts w:cstheme="minorHAnsi"/>
              </w:rPr>
            </w:pPr>
            <w:r w:rsidRPr="00DC1C2F">
              <w:rPr>
                <w:rFonts w:cstheme="minorHAnsi"/>
              </w:rPr>
              <w:t>There is adequate protected time for immunisation</w:t>
            </w:r>
            <w:r w:rsidRPr="00224C4F">
              <w:rPr>
                <w:rFonts w:cstheme="minorHAnsi"/>
              </w:rPr>
              <w:t xml:space="preserve"> </w:t>
            </w:r>
            <w:r w:rsidRPr="00DC1C2F">
              <w:rPr>
                <w:rFonts w:cstheme="minorHAnsi"/>
              </w:rPr>
              <w:t>administrative</w:t>
            </w:r>
            <w:r w:rsidRPr="00DC1C2F">
              <w:rPr>
                <w:rFonts w:cstheme="minorHAnsi"/>
                <w:spacing w:val="-8"/>
              </w:rPr>
              <w:t xml:space="preserve"> </w:t>
            </w:r>
            <w:r w:rsidRPr="00DC1C2F">
              <w:rPr>
                <w:rFonts w:cstheme="minorHAnsi"/>
              </w:rPr>
              <w:t>activities</w:t>
            </w:r>
            <w:r w:rsidRPr="00DC1C2F">
              <w:rPr>
                <w:rFonts w:cstheme="minorHAnsi"/>
                <w:spacing w:val="-10"/>
              </w:rPr>
              <w:t xml:space="preserve"> </w:t>
            </w:r>
            <w:r w:rsidR="007104E3" w:rsidRPr="00DC1C2F">
              <w:rPr>
                <w:rFonts w:cstheme="minorHAnsi"/>
              </w:rPr>
              <w:t>e.g.,</w:t>
            </w:r>
            <w:r w:rsidRPr="00DC1C2F">
              <w:rPr>
                <w:rFonts w:cstheme="minorHAnsi"/>
                <w:spacing w:val="-10"/>
              </w:rPr>
              <w:t xml:space="preserve"> </w:t>
            </w:r>
            <w:r w:rsidRPr="00DC1C2F">
              <w:rPr>
                <w:rFonts w:cstheme="minorHAnsi"/>
              </w:rPr>
              <w:t>audits,</w:t>
            </w:r>
            <w:r w:rsidRPr="00DC1C2F">
              <w:rPr>
                <w:rFonts w:cstheme="minorHAnsi"/>
                <w:spacing w:val="-9"/>
              </w:rPr>
              <w:t xml:space="preserve"> </w:t>
            </w:r>
            <w:proofErr w:type="spellStart"/>
            <w:r w:rsidRPr="00DC1C2F">
              <w:rPr>
                <w:rFonts w:cstheme="minorHAnsi"/>
              </w:rPr>
              <w:t>precalls</w:t>
            </w:r>
            <w:proofErr w:type="spellEnd"/>
            <w:r w:rsidRPr="00DC1C2F">
              <w:rPr>
                <w:rFonts w:cstheme="minorHAnsi"/>
                <w:spacing w:val="-8"/>
              </w:rPr>
              <w:t xml:space="preserve"> </w:t>
            </w:r>
            <w:r w:rsidRPr="00DC1C2F">
              <w:rPr>
                <w:rFonts w:cstheme="minorHAnsi"/>
              </w:rPr>
              <w:t xml:space="preserve">and </w:t>
            </w:r>
            <w:r w:rsidRPr="00DC1C2F">
              <w:rPr>
                <w:rFonts w:cstheme="minorHAnsi"/>
                <w:spacing w:val="-2"/>
              </w:rPr>
              <w:t>recalls.</w:t>
            </w:r>
          </w:p>
        </w:tc>
        <w:tc>
          <w:tcPr>
            <w:tcW w:w="1725" w:type="pct"/>
          </w:tcPr>
          <w:p w14:paraId="738043CF" w14:textId="77777777" w:rsidR="00224C4F" w:rsidRPr="00DC1C2F" w:rsidRDefault="00224C4F" w:rsidP="00C8619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224C4F" w:rsidRPr="00224C4F" w14:paraId="5154FFB2" w14:textId="77777777" w:rsidTr="00B319C0">
        <w:trPr>
          <w:cnfStyle w:val="000000100000" w:firstRow="0" w:lastRow="0" w:firstColumn="0" w:lastColumn="0" w:oddVBand="0" w:evenVBand="0" w:oddHBand="1" w:evenHBand="0" w:firstRowFirstColumn="0" w:firstRowLastColumn="0" w:lastRowFirstColumn="0" w:lastRowLastColumn="0"/>
          <w:trHeight w:val="975"/>
        </w:trPr>
        <w:tc>
          <w:tcPr>
            <w:cnfStyle w:val="000010000000" w:firstRow="0" w:lastRow="0" w:firstColumn="0" w:lastColumn="0" w:oddVBand="1" w:evenVBand="0" w:oddHBand="0" w:evenHBand="0" w:firstRowFirstColumn="0" w:firstRowLastColumn="0" w:lastRowFirstColumn="0" w:lastRowLastColumn="0"/>
            <w:tcW w:w="3275" w:type="pct"/>
          </w:tcPr>
          <w:p w14:paraId="6EC6B4A8" w14:textId="79F154AE" w:rsidR="00224C4F" w:rsidRPr="00DC1C2F" w:rsidRDefault="00224C4F" w:rsidP="00C8619F">
            <w:pPr>
              <w:numPr>
                <w:ilvl w:val="0"/>
                <w:numId w:val="13"/>
              </w:numPr>
              <w:tabs>
                <w:tab w:val="left" w:pos="483"/>
              </w:tabs>
              <w:kinsoku w:val="0"/>
              <w:overflowPunct w:val="0"/>
              <w:autoSpaceDE w:val="0"/>
              <w:autoSpaceDN w:val="0"/>
              <w:adjustRightInd w:val="0"/>
              <w:spacing w:after="0" w:line="240" w:lineRule="auto"/>
              <w:rPr>
                <w:rFonts w:cstheme="minorHAnsi"/>
              </w:rPr>
            </w:pPr>
            <w:r w:rsidRPr="00DC1C2F">
              <w:rPr>
                <w:rFonts w:cstheme="minorHAnsi"/>
              </w:rPr>
              <w:t xml:space="preserve">The practice has addressed potential barriers for </w:t>
            </w:r>
            <w:r w:rsidR="00746350" w:rsidRPr="00746350">
              <w:rPr>
                <w:rFonts w:cstheme="minorHAnsi"/>
              </w:rPr>
              <w:t>whānau</w:t>
            </w:r>
            <w:r w:rsidRPr="00DC1C2F">
              <w:rPr>
                <w:rFonts w:cstheme="minorHAnsi"/>
              </w:rPr>
              <w:t>,</w:t>
            </w:r>
            <w:r w:rsidRPr="00224C4F">
              <w:rPr>
                <w:rFonts w:cstheme="minorHAnsi"/>
              </w:rPr>
              <w:t xml:space="preserve"> </w:t>
            </w:r>
            <w:r w:rsidR="007104E3" w:rsidRPr="00DC1C2F">
              <w:rPr>
                <w:rFonts w:cstheme="minorHAnsi"/>
              </w:rPr>
              <w:t>e.g.,</w:t>
            </w:r>
            <w:r w:rsidRPr="00DC1C2F">
              <w:rPr>
                <w:rFonts w:cstheme="minorHAnsi"/>
                <w:spacing w:val="-7"/>
              </w:rPr>
              <w:t xml:space="preserve"> </w:t>
            </w:r>
            <w:r w:rsidRPr="00DC1C2F">
              <w:rPr>
                <w:rFonts w:cstheme="minorHAnsi"/>
              </w:rPr>
              <w:t>walk-ins</w:t>
            </w:r>
            <w:r w:rsidRPr="00DC1C2F">
              <w:rPr>
                <w:rFonts w:cstheme="minorHAnsi"/>
                <w:spacing w:val="-6"/>
              </w:rPr>
              <w:t xml:space="preserve"> </w:t>
            </w:r>
            <w:r w:rsidRPr="00DC1C2F">
              <w:rPr>
                <w:rFonts w:cstheme="minorHAnsi"/>
              </w:rPr>
              <w:t>are</w:t>
            </w:r>
            <w:r w:rsidRPr="00DC1C2F">
              <w:rPr>
                <w:rFonts w:cstheme="minorHAnsi"/>
                <w:spacing w:val="-6"/>
              </w:rPr>
              <w:t xml:space="preserve"> </w:t>
            </w:r>
            <w:r w:rsidRPr="00DC1C2F">
              <w:rPr>
                <w:rFonts w:cstheme="minorHAnsi"/>
              </w:rPr>
              <w:t>accommodated,</w:t>
            </w:r>
            <w:r w:rsidRPr="00DC1C2F">
              <w:rPr>
                <w:rFonts w:cstheme="minorHAnsi"/>
                <w:spacing w:val="-7"/>
              </w:rPr>
              <w:t xml:space="preserve"> </w:t>
            </w:r>
            <w:r w:rsidRPr="00DC1C2F">
              <w:rPr>
                <w:rFonts w:cstheme="minorHAnsi"/>
              </w:rPr>
              <w:t>the</w:t>
            </w:r>
            <w:r w:rsidRPr="00DC1C2F">
              <w:rPr>
                <w:rFonts w:cstheme="minorHAnsi"/>
                <w:spacing w:val="-7"/>
              </w:rPr>
              <w:t xml:space="preserve"> </w:t>
            </w:r>
            <w:r w:rsidRPr="00DC1C2F">
              <w:rPr>
                <w:rFonts w:cstheme="minorHAnsi"/>
              </w:rPr>
              <w:t>practice</w:t>
            </w:r>
            <w:r w:rsidRPr="00DC1C2F">
              <w:rPr>
                <w:rFonts w:cstheme="minorHAnsi"/>
                <w:spacing w:val="-6"/>
              </w:rPr>
              <w:t xml:space="preserve"> </w:t>
            </w:r>
            <w:r w:rsidRPr="00DC1C2F">
              <w:rPr>
                <w:rFonts w:cstheme="minorHAnsi"/>
              </w:rPr>
              <w:t>is</w:t>
            </w:r>
            <w:r w:rsidRPr="00DC1C2F">
              <w:rPr>
                <w:rFonts w:cstheme="minorHAnsi"/>
                <w:spacing w:val="-7"/>
              </w:rPr>
              <w:t xml:space="preserve"> </w:t>
            </w:r>
            <w:r w:rsidRPr="00DC1C2F">
              <w:rPr>
                <w:rFonts w:cstheme="minorHAnsi"/>
              </w:rPr>
              <w:t>open</w:t>
            </w:r>
            <w:r w:rsidRPr="00DC1C2F">
              <w:rPr>
                <w:rFonts w:cstheme="minorHAnsi"/>
                <w:spacing w:val="-7"/>
              </w:rPr>
              <w:t xml:space="preserve"> </w:t>
            </w:r>
            <w:r w:rsidRPr="00DC1C2F">
              <w:rPr>
                <w:rFonts w:cstheme="minorHAnsi"/>
              </w:rPr>
              <w:t xml:space="preserve">on Saturdays, the practice is open </w:t>
            </w:r>
            <w:r w:rsidR="00746350">
              <w:rPr>
                <w:rFonts w:cstheme="minorHAnsi"/>
              </w:rPr>
              <w:t>after usual business hours</w:t>
            </w:r>
            <w:r w:rsidRPr="00DC1C2F">
              <w:rPr>
                <w:rFonts w:cstheme="minorHAnsi"/>
              </w:rPr>
              <w:t>.</w:t>
            </w:r>
          </w:p>
        </w:tc>
        <w:tc>
          <w:tcPr>
            <w:tcW w:w="1725" w:type="pct"/>
          </w:tcPr>
          <w:p w14:paraId="1B3EBFE9" w14:textId="77777777" w:rsidR="00224C4F" w:rsidRPr="00DC1C2F" w:rsidRDefault="00224C4F" w:rsidP="00C8619F">
            <w:pPr>
              <w:kinsoku w:val="0"/>
              <w:overflowPunct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24C4F" w:rsidRPr="00224C4F" w14:paraId="579DB5FF" w14:textId="77777777" w:rsidTr="00B319C0">
        <w:trPr>
          <w:trHeight w:val="895"/>
        </w:trPr>
        <w:tc>
          <w:tcPr>
            <w:cnfStyle w:val="000010000000" w:firstRow="0" w:lastRow="0" w:firstColumn="0" w:lastColumn="0" w:oddVBand="1" w:evenVBand="0" w:oddHBand="0" w:evenHBand="0" w:firstRowFirstColumn="0" w:firstRowLastColumn="0" w:lastRowFirstColumn="0" w:lastRowLastColumn="0"/>
            <w:tcW w:w="3275" w:type="pct"/>
          </w:tcPr>
          <w:p w14:paraId="44E23664" w14:textId="5668D4A8" w:rsidR="00224C4F" w:rsidRPr="00DC1C2F" w:rsidRDefault="00224C4F" w:rsidP="00C8619F">
            <w:pPr>
              <w:numPr>
                <w:ilvl w:val="0"/>
                <w:numId w:val="12"/>
              </w:numPr>
              <w:tabs>
                <w:tab w:val="left" w:pos="483"/>
              </w:tabs>
              <w:kinsoku w:val="0"/>
              <w:overflowPunct w:val="0"/>
              <w:autoSpaceDE w:val="0"/>
              <w:autoSpaceDN w:val="0"/>
              <w:adjustRightInd w:val="0"/>
              <w:spacing w:after="0" w:line="240" w:lineRule="auto"/>
              <w:ind w:right="609"/>
              <w:rPr>
                <w:rFonts w:cstheme="minorHAnsi"/>
                <w:spacing w:val="-2"/>
              </w:rPr>
            </w:pPr>
            <w:r w:rsidRPr="00DC1C2F">
              <w:rPr>
                <w:rFonts w:cstheme="minorHAnsi"/>
              </w:rPr>
              <w:t>The practice has a designated staff member/</w:t>
            </w:r>
            <w:r w:rsidRPr="00DC1C2F">
              <w:rPr>
                <w:rFonts w:cstheme="minorHAnsi"/>
                <w:spacing w:val="-13"/>
              </w:rPr>
              <w:t xml:space="preserve"> </w:t>
            </w:r>
            <w:r w:rsidRPr="00DC1C2F">
              <w:rPr>
                <w:rFonts w:cstheme="minorHAnsi"/>
              </w:rPr>
              <w:t>champion to oversee the immunisation programme and liaise with the NIR</w:t>
            </w:r>
            <w:r w:rsidRPr="00DC1C2F">
              <w:rPr>
                <w:rFonts w:cstheme="minorHAnsi"/>
                <w:spacing w:val="-8"/>
              </w:rPr>
              <w:t xml:space="preserve"> </w:t>
            </w:r>
            <w:r w:rsidRPr="00DC1C2F">
              <w:rPr>
                <w:rFonts w:cstheme="minorHAnsi"/>
              </w:rPr>
              <w:t>and</w:t>
            </w:r>
            <w:r w:rsidRPr="00DC1C2F">
              <w:rPr>
                <w:rFonts w:cstheme="minorHAnsi"/>
                <w:spacing w:val="-9"/>
              </w:rPr>
              <w:t xml:space="preserve"> </w:t>
            </w:r>
            <w:r w:rsidRPr="00DC1C2F">
              <w:rPr>
                <w:rFonts w:cstheme="minorHAnsi"/>
              </w:rPr>
              <w:t>the</w:t>
            </w:r>
            <w:r w:rsidRPr="00DC1C2F">
              <w:rPr>
                <w:rFonts w:cstheme="minorHAnsi"/>
                <w:spacing w:val="-8"/>
              </w:rPr>
              <w:t xml:space="preserve"> </w:t>
            </w:r>
            <w:r w:rsidR="00D0488F">
              <w:rPr>
                <w:rFonts w:cstheme="minorHAnsi"/>
                <w:spacing w:val="-8"/>
              </w:rPr>
              <w:t xml:space="preserve">PHO </w:t>
            </w:r>
            <w:r w:rsidRPr="00DC1C2F">
              <w:rPr>
                <w:rFonts w:cstheme="minorHAnsi"/>
              </w:rPr>
              <w:t xml:space="preserve">Immunisation </w:t>
            </w:r>
            <w:r w:rsidRPr="00DC1C2F">
              <w:rPr>
                <w:rFonts w:cstheme="minorHAnsi"/>
                <w:spacing w:val="-2"/>
              </w:rPr>
              <w:t>Coordinator.</w:t>
            </w:r>
          </w:p>
        </w:tc>
        <w:tc>
          <w:tcPr>
            <w:tcW w:w="1725" w:type="pct"/>
          </w:tcPr>
          <w:p w14:paraId="7799855A" w14:textId="77777777" w:rsidR="00224C4F" w:rsidRPr="00DC1C2F" w:rsidRDefault="00224C4F" w:rsidP="00C8619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224C4F" w:rsidRPr="00224C4F" w14:paraId="14926692"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tcPr>
          <w:p w14:paraId="7CD1B825" w14:textId="0E1C9E14" w:rsidR="00224C4F" w:rsidRPr="00DC1C2F" w:rsidRDefault="00224C4F" w:rsidP="00224C4F">
            <w:pPr>
              <w:pStyle w:val="Heading2"/>
              <w:rPr>
                <w:rFonts w:cstheme="minorHAnsi"/>
              </w:rPr>
            </w:pPr>
            <w:r w:rsidRPr="00224C4F">
              <w:t>Recalls</w:t>
            </w:r>
          </w:p>
        </w:tc>
      </w:tr>
      <w:tr w:rsidR="00224C4F" w:rsidRPr="00224C4F" w14:paraId="6F00875C" w14:textId="77777777" w:rsidTr="00B319C0">
        <w:trPr>
          <w:trHeight w:val="1784"/>
        </w:trPr>
        <w:tc>
          <w:tcPr>
            <w:cnfStyle w:val="000010000000" w:firstRow="0" w:lastRow="0" w:firstColumn="0" w:lastColumn="0" w:oddVBand="1" w:evenVBand="0" w:oddHBand="0" w:evenHBand="0" w:firstRowFirstColumn="0" w:firstRowLastColumn="0" w:lastRowFirstColumn="0" w:lastRowLastColumn="0"/>
            <w:tcW w:w="3275" w:type="pct"/>
          </w:tcPr>
          <w:p w14:paraId="549A1156" w14:textId="77777777" w:rsidR="00224C4F" w:rsidRPr="00DC1C2F" w:rsidRDefault="00224C4F" w:rsidP="00E23723">
            <w:pPr>
              <w:numPr>
                <w:ilvl w:val="0"/>
                <w:numId w:val="11"/>
              </w:numPr>
              <w:tabs>
                <w:tab w:val="left" w:pos="483"/>
              </w:tabs>
              <w:kinsoku w:val="0"/>
              <w:overflowPunct w:val="0"/>
              <w:autoSpaceDE w:val="0"/>
              <w:autoSpaceDN w:val="0"/>
              <w:adjustRightInd w:val="0"/>
              <w:spacing w:after="0" w:line="240" w:lineRule="auto"/>
              <w:rPr>
                <w:rFonts w:cstheme="minorHAnsi"/>
              </w:rPr>
            </w:pPr>
            <w:proofErr w:type="spellStart"/>
            <w:r w:rsidRPr="00DC1C2F">
              <w:rPr>
                <w:rFonts w:cstheme="minorHAnsi"/>
              </w:rPr>
              <w:t>Precalls</w:t>
            </w:r>
            <w:proofErr w:type="spellEnd"/>
            <w:r w:rsidRPr="00DC1C2F">
              <w:rPr>
                <w:rFonts w:cstheme="minorHAnsi"/>
              </w:rPr>
              <w:t xml:space="preserve"> are sent rather than waiting until recalls are due.</w:t>
            </w:r>
          </w:p>
          <w:p w14:paraId="35980069" w14:textId="77777777" w:rsidR="00224C4F" w:rsidRPr="00DC1C2F" w:rsidRDefault="00224C4F" w:rsidP="00E23723">
            <w:pPr>
              <w:numPr>
                <w:ilvl w:val="0"/>
                <w:numId w:val="11"/>
              </w:numPr>
              <w:tabs>
                <w:tab w:val="left" w:pos="483"/>
              </w:tabs>
              <w:kinsoku w:val="0"/>
              <w:overflowPunct w:val="0"/>
              <w:autoSpaceDE w:val="0"/>
              <w:autoSpaceDN w:val="0"/>
              <w:adjustRightInd w:val="0"/>
              <w:spacing w:after="0" w:line="240" w:lineRule="auto"/>
              <w:rPr>
                <w:rFonts w:cstheme="minorHAnsi"/>
              </w:rPr>
            </w:pPr>
            <w:proofErr w:type="spellStart"/>
            <w:r w:rsidRPr="00DC1C2F">
              <w:rPr>
                <w:rFonts w:cstheme="minorHAnsi"/>
              </w:rPr>
              <w:t>Precall</w:t>
            </w:r>
            <w:proofErr w:type="spellEnd"/>
            <w:r w:rsidRPr="00DC1C2F">
              <w:rPr>
                <w:rFonts w:cstheme="minorHAnsi"/>
              </w:rPr>
              <w:t xml:space="preserve"> and recall letters are friendly and welcoming.</w:t>
            </w:r>
          </w:p>
          <w:p w14:paraId="235492C4" w14:textId="77777777" w:rsidR="00224C4F" w:rsidRPr="00DC1C2F" w:rsidRDefault="00224C4F" w:rsidP="00E23723">
            <w:pPr>
              <w:numPr>
                <w:ilvl w:val="0"/>
                <w:numId w:val="11"/>
              </w:numPr>
              <w:tabs>
                <w:tab w:val="left" w:pos="483"/>
              </w:tabs>
              <w:kinsoku w:val="0"/>
              <w:overflowPunct w:val="0"/>
              <w:autoSpaceDE w:val="0"/>
              <w:autoSpaceDN w:val="0"/>
              <w:adjustRightInd w:val="0"/>
              <w:spacing w:after="0" w:line="292" w:lineRule="exact"/>
              <w:rPr>
                <w:rFonts w:cstheme="minorHAnsi"/>
                <w:i/>
                <w:iCs/>
              </w:rPr>
            </w:pPr>
            <w:proofErr w:type="spellStart"/>
            <w:r w:rsidRPr="00DC1C2F">
              <w:rPr>
                <w:rFonts w:cstheme="minorHAnsi"/>
              </w:rPr>
              <w:t>Precalls</w:t>
            </w:r>
            <w:proofErr w:type="spellEnd"/>
            <w:r w:rsidRPr="00DC1C2F">
              <w:rPr>
                <w:rFonts w:cstheme="minorHAnsi"/>
              </w:rPr>
              <w:t xml:space="preserve"> and recalls are carried out weekly using a </w:t>
            </w:r>
            <w:r w:rsidRPr="00DC1C2F">
              <w:rPr>
                <w:rFonts w:cstheme="minorHAnsi"/>
                <w:i/>
                <w:iCs/>
              </w:rPr>
              <w:t>Recall Contact</w:t>
            </w:r>
          </w:p>
          <w:p w14:paraId="7E8F1BC7" w14:textId="77777777" w:rsidR="00224C4F" w:rsidRPr="00DC1C2F" w:rsidRDefault="00224C4F" w:rsidP="00E23723">
            <w:pPr>
              <w:kinsoku w:val="0"/>
              <w:overflowPunct w:val="0"/>
              <w:autoSpaceDE w:val="0"/>
              <w:autoSpaceDN w:val="0"/>
              <w:adjustRightInd w:val="0"/>
              <w:spacing w:after="0" w:line="280" w:lineRule="exact"/>
              <w:ind w:left="482"/>
              <w:rPr>
                <w:rFonts w:cstheme="minorHAnsi"/>
              </w:rPr>
            </w:pPr>
            <w:r w:rsidRPr="00DC1C2F">
              <w:rPr>
                <w:rFonts w:cstheme="minorHAnsi"/>
              </w:rPr>
              <w:t>list or equivalent.</w:t>
            </w:r>
          </w:p>
          <w:p w14:paraId="5329926F" w14:textId="77777777" w:rsidR="00224C4F" w:rsidRPr="00DC1C2F" w:rsidRDefault="00224C4F" w:rsidP="00E23723">
            <w:pPr>
              <w:numPr>
                <w:ilvl w:val="0"/>
                <w:numId w:val="11"/>
              </w:numPr>
              <w:tabs>
                <w:tab w:val="left" w:pos="483"/>
              </w:tabs>
              <w:kinsoku w:val="0"/>
              <w:overflowPunct w:val="0"/>
              <w:autoSpaceDE w:val="0"/>
              <w:autoSpaceDN w:val="0"/>
              <w:adjustRightInd w:val="0"/>
              <w:spacing w:after="0" w:line="240" w:lineRule="auto"/>
              <w:rPr>
                <w:rFonts w:cstheme="minorHAnsi"/>
              </w:rPr>
            </w:pPr>
            <w:r w:rsidRPr="00DC1C2F">
              <w:rPr>
                <w:rFonts w:cstheme="minorHAnsi"/>
              </w:rPr>
              <w:t xml:space="preserve">A variety of methods are used to </w:t>
            </w:r>
            <w:proofErr w:type="spellStart"/>
            <w:r w:rsidRPr="00DC1C2F">
              <w:rPr>
                <w:rFonts w:cstheme="minorHAnsi"/>
              </w:rPr>
              <w:t>precall</w:t>
            </w:r>
            <w:proofErr w:type="spellEnd"/>
            <w:r w:rsidRPr="00DC1C2F">
              <w:rPr>
                <w:rFonts w:cstheme="minorHAnsi"/>
                <w:spacing w:val="-16"/>
              </w:rPr>
              <w:t xml:space="preserve"> </w:t>
            </w:r>
            <w:r w:rsidRPr="00DC1C2F">
              <w:rPr>
                <w:rFonts w:cstheme="minorHAnsi"/>
              </w:rPr>
              <w:t>/</w:t>
            </w:r>
            <w:r w:rsidRPr="00DC1C2F">
              <w:rPr>
                <w:rFonts w:cstheme="minorHAnsi"/>
                <w:spacing w:val="-16"/>
              </w:rPr>
              <w:t xml:space="preserve"> </w:t>
            </w:r>
            <w:r w:rsidRPr="00DC1C2F">
              <w:rPr>
                <w:rFonts w:cstheme="minorHAnsi"/>
              </w:rPr>
              <w:t>recall.</w:t>
            </w:r>
          </w:p>
          <w:p w14:paraId="7CE390F3" w14:textId="77777777" w:rsidR="00224C4F" w:rsidRPr="00DC1C2F" w:rsidRDefault="00224C4F" w:rsidP="00E23723">
            <w:pPr>
              <w:numPr>
                <w:ilvl w:val="0"/>
                <w:numId w:val="11"/>
              </w:numPr>
              <w:tabs>
                <w:tab w:val="left" w:pos="483"/>
              </w:tabs>
              <w:kinsoku w:val="0"/>
              <w:overflowPunct w:val="0"/>
              <w:autoSpaceDE w:val="0"/>
              <w:autoSpaceDN w:val="0"/>
              <w:adjustRightInd w:val="0"/>
              <w:spacing w:after="0" w:line="240" w:lineRule="auto"/>
              <w:rPr>
                <w:rFonts w:cstheme="minorHAnsi"/>
              </w:rPr>
            </w:pPr>
            <w:r w:rsidRPr="00DC1C2F">
              <w:rPr>
                <w:rFonts w:cstheme="minorHAnsi"/>
              </w:rPr>
              <w:t>Appointment times are offered.</w:t>
            </w:r>
          </w:p>
        </w:tc>
        <w:tc>
          <w:tcPr>
            <w:tcW w:w="1725" w:type="pct"/>
          </w:tcPr>
          <w:p w14:paraId="51777641" w14:textId="77777777" w:rsidR="00224C4F" w:rsidRPr="00DC1C2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8619F" w:rsidRPr="00224C4F" w14:paraId="736AA9BF"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tcPr>
          <w:p w14:paraId="5F2D999B" w14:textId="51EFCECC" w:rsidR="00C8619F" w:rsidRPr="00224C4F" w:rsidRDefault="00C8619F" w:rsidP="00C8619F">
            <w:pPr>
              <w:pStyle w:val="Heading2"/>
              <w:rPr>
                <w:rFonts w:cstheme="minorHAnsi"/>
              </w:rPr>
            </w:pPr>
            <w:r w:rsidRPr="00224C4F">
              <w:t xml:space="preserve">Overdue immunisations </w:t>
            </w:r>
          </w:p>
        </w:tc>
      </w:tr>
      <w:tr w:rsidR="00224C4F" w:rsidRPr="00224C4F" w14:paraId="02C878ED" w14:textId="77777777" w:rsidTr="00B319C0">
        <w:trPr>
          <w:trHeight w:val="1709"/>
        </w:trPr>
        <w:tc>
          <w:tcPr>
            <w:cnfStyle w:val="000010000000" w:firstRow="0" w:lastRow="0" w:firstColumn="0" w:lastColumn="0" w:oddVBand="1" w:evenVBand="0" w:oddHBand="0" w:evenHBand="0" w:firstRowFirstColumn="0" w:firstRowLastColumn="0" w:lastRowFirstColumn="0" w:lastRowLastColumn="0"/>
            <w:tcW w:w="3275" w:type="pct"/>
          </w:tcPr>
          <w:p w14:paraId="3E7E0D05" w14:textId="517EC08A" w:rsidR="00224C4F" w:rsidRPr="00224C4F" w:rsidRDefault="00224C4F" w:rsidP="00C8619F">
            <w:pPr>
              <w:pStyle w:val="Default"/>
              <w:numPr>
                <w:ilvl w:val="0"/>
                <w:numId w:val="11"/>
              </w:numPr>
              <w:ind w:left="426"/>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Children who are overdue for immunisations are identified and referred to the Outreach Immunisation Service (OIS) as soon as possible. </w:t>
            </w:r>
          </w:p>
          <w:p w14:paraId="09B1A8EA" w14:textId="7FA9E0DC" w:rsidR="00C8619F" w:rsidRDefault="00224C4F" w:rsidP="00C8619F">
            <w:pPr>
              <w:pStyle w:val="Default"/>
              <w:numPr>
                <w:ilvl w:val="0"/>
                <w:numId w:val="11"/>
              </w:numPr>
              <w:ind w:left="426"/>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NIR </w:t>
            </w:r>
            <w:r w:rsidRPr="00224C4F">
              <w:rPr>
                <w:rFonts w:asciiTheme="minorHAnsi" w:hAnsiTheme="minorHAnsi" w:cstheme="minorHAnsi"/>
                <w:i/>
                <w:iCs/>
                <w:color w:val="auto"/>
                <w:sz w:val="22"/>
                <w:szCs w:val="22"/>
              </w:rPr>
              <w:t xml:space="preserve">Overdue Reports </w:t>
            </w:r>
            <w:r w:rsidRPr="00224C4F">
              <w:rPr>
                <w:rFonts w:asciiTheme="minorHAnsi" w:hAnsiTheme="minorHAnsi" w:cstheme="minorHAnsi"/>
                <w:color w:val="auto"/>
                <w:sz w:val="22"/>
                <w:szCs w:val="22"/>
              </w:rPr>
              <w:t xml:space="preserve">are completed in full within 2 weeks of the notification email. </w:t>
            </w:r>
          </w:p>
          <w:p w14:paraId="5D588F5A" w14:textId="54BA49E5" w:rsidR="00224C4F" w:rsidRPr="00C8619F" w:rsidRDefault="00224C4F" w:rsidP="00C8619F">
            <w:pPr>
              <w:pStyle w:val="Default"/>
              <w:numPr>
                <w:ilvl w:val="0"/>
                <w:numId w:val="11"/>
              </w:numPr>
              <w:ind w:left="426"/>
              <w:rPr>
                <w:rFonts w:asciiTheme="minorHAnsi" w:hAnsiTheme="minorHAnsi" w:cstheme="minorHAnsi"/>
                <w:color w:val="auto"/>
                <w:sz w:val="22"/>
                <w:szCs w:val="22"/>
              </w:rPr>
            </w:pPr>
            <w:r w:rsidRPr="00C8619F">
              <w:rPr>
                <w:rFonts w:asciiTheme="minorHAnsi" w:hAnsiTheme="minorHAnsi" w:cstheme="minorHAnsi"/>
                <w:color w:val="auto"/>
                <w:sz w:val="22"/>
                <w:szCs w:val="22"/>
              </w:rPr>
              <w:t xml:space="preserve">Safety net referral (SNR) faxes are responded to within 2 days of receipt from the NIR. </w:t>
            </w:r>
          </w:p>
        </w:tc>
        <w:tc>
          <w:tcPr>
            <w:tcW w:w="1725" w:type="pct"/>
          </w:tcPr>
          <w:p w14:paraId="391C03BF"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8619F" w:rsidRPr="00224C4F" w14:paraId="5B190599" w14:textId="77777777" w:rsidTr="00B319C0">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5000" w:type="pct"/>
            <w:gridSpan w:val="2"/>
          </w:tcPr>
          <w:p w14:paraId="1A76D012" w14:textId="172F92E4" w:rsidR="00C8619F" w:rsidRPr="00C8619F" w:rsidRDefault="00C8619F" w:rsidP="00C8619F">
            <w:pPr>
              <w:pStyle w:val="Heading2"/>
            </w:pPr>
            <w:r w:rsidRPr="00224C4F">
              <w:t xml:space="preserve">New Patient Nominations and early enrolment </w:t>
            </w:r>
          </w:p>
        </w:tc>
      </w:tr>
      <w:tr w:rsidR="00545D18" w:rsidRPr="00224C4F" w14:paraId="7C2B7FDA" w14:textId="77777777" w:rsidTr="00B319C0">
        <w:trPr>
          <w:trHeight w:val="1418"/>
        </w:trPr>
        <w:tc>
          <w:tcPr>
            <w:cnfStyle w:val="000010000000" w:firstRow="0" w:lastRow="0" w:firstColumn="0" w:lastColumn="0" w:oddVBand="1" w:evenVBand="0" w:oddHBand="0" w:evenHBand="0" w:firstRowFirstColumn="0" w:firstRowLastColumn="0" w:lastRowFirstColumn="0" w:lastRowLastColumn="0"/>
            <w:tcW w:w="3275" w:type="pct"/>
          </w:tcPr>
          <w:p w14:paraId="5BAD6641" w14:textId="65E9A73B" w:rsidR="00545D18" w:rsidRPr="00224C4F" w:rsidRDefault="00545D18" w:rsidP="00545D18">
            <w:pPr>
              <w:pStyle w:val="Default"/>
              <w:numPr>
                <w:ilvl w:val="0"/>
                <w:numId w:val="19"/>
              </w:numPr>
              <w:rPr>
                <w:rFonts w:asciiTheme="minorHAnsi" w:hAnsiTheme="minorHAnsi" w:cstheme="minorHAnsi"/>
                <w:color w:val="auto"/>
                <w:sz w:val="22"/>
                <w:szCs w:val="22"/>
              </w:rPr>
            </w:pPr>
            <w:r w:rsidRPr="00224C4F">
              <w:rPr>
                <w:rFonts w:asciiTheme="minorHAnsi" w:hAnsiTheme="minorHAnsi" w:cstheme="minorHAnsi"/>
                <w:i/>
                <w:iCs/>
                <w:color w:val="auto"/>
                <w:sz w:val="22"/>
                <w:szCs w:val="22"/>
              </w:rPr>
              <w:t xml:space="preserve">New Patient Nominations </w:t>
            </w:r>
            <w:r w:rsidRPr="00224C4F">
              <w:rPr>
                <w:rFonts w:asciiTheme="minorHAnsi" w:hAnsiTheme="minorHAnsi" w:cstheme="minorHAnsi"/>
                <w:color w:val="auto"/>
                <w:sz w:val="22"/>
                <w:szCs w:val="22"/>
              </w:rPr>
              <w:t xml:space="preserve">in the </w:t>
            </w:r>
            <w:r w:rsidRPr="00224C4F">
              <w:rPr>
                <w:rFonts w:asciiTheme="minorHAnsi" w:hAnsiTheme="minorHAnsi" w:cstheme="minorHAnsi"/>
                <w:i/>
                <w:iCs/>
                <w:color w:val="auto"/>
                <w:sz w:val="22"/>
                <w:szCs w:val="22"/>
              </w:rPr>
              <w:t xml:space="preserve">Provider </w:t>
            </w:r>
            <w:r w:rsidR="007104E3" w:rsidRPr="00224C4F">
              <w:rPr>
                <w:rFonts w:asciiTheme="minorHAnsi" w:hAnsiTheme="minorHAnsi" w:cstheme="minorHAnsi"/>
                <w:i/>
                <w:iCs/>
                <w:color w:val="auto"/>
                <w:sz w:val="22"/>
                <w:szCs w:val="22"/>
              </w:rPr>
              <w:t>Inbox</w:t>
            </w:r>
            <w:r w:rsidRPr="00224C4F">
              <w:rPr>
                <w:rFonts w:asciiTheme="minorHAnsi" w:hAnsiTheme="minorHAnsi" w:cstheme="minorHAnsi"/>
                <w:i/>
                <w:iCs/>
                <w:color w:val="auto"/>
                <w:sz w:val="22"/>
                <w:szCs w:val="22"/>
              </w:rPr>
              <w:t xml:space="preserve"> </w:t>
            </w:r>
            <w:r w:rsidRPr="00224C4F">
              <w:rPr>
                <w:rFonts w:asciiTheme="minorHAnsi" w:hAnsiTheme="minorHAnsi" w:cstheme="minorHAnsi"/>
                <w:color w:val="auto"/>
                <w:sz w:val="22"/>
                <w:szCs w:val="22"/>
              </w:rPr>
              <w:t>are actioned daily (within 3 days at most)</w:t>
            </w:r>
            <w:r w:rsidR="00E808EC">
              <w:rPr>
                <w:rFonts w:asciiTheme="minorHAnsi" w:hAnsiTheme="minorHAnsi" w:cstheme="minorHAnsi"/>
                <w:color w:val="auto"/>
                <w:sz w:val="22"/>
                <w:szCs w:val="22"/>
              </w:rPr>
              <w:t xml:space="preserve"> -refer to Newborn Enrolment Process</w:t>
            </w:r>
          </w:p>
          <w:p w14:paraId="2638C393" w14:textId="5329D88F" w:rsidR="00545D18" w:rsidRPr="00224C4F" w:rsidRDefault="00545D18" w:rsidP="00545D18">
            <w:pPr>
              <w:pStyle w:val="Default"/>
              <w:numPr>
                <w:ilvl w:val="0"/>
                <w:numId w:val="19"/>
              </w:numPr>
              <w:rPr>
                <w:rFonts w:asciiTheme="minorHAnsi" w:hAnsiTheme="minorHAnsi" w:cstheme="minorHAnsi"/>
                <w:color w:val="auto"/>
                <w:sz w:val="22"/>
                <w:szCs w:val="22"/>
              </w:rPr>
            </w:pPr>
            <w:r w:rsidRPr="00224C4F">
              <w:rPr>
                <w:rFonts w:asciiTheme="minorHAnsi" w:hAnsiTheme="minorHAnsi" w:cstheme="minorHAnsi"/>
                <w:color w:val="auto"/>
                <w:sz w:val="22"/>
                <w:szCs w:val="22"/>
              </w:rPr>
              <w:t>Babies are registered using the details in the NIR nomination and enrolled under the ‘B’ [</w:t>
            </w:r>
            <w:r w:rsidRPr="00224C4F">
              <w:rPr>
                <w:rFonts w:asciiTheme="minorHAnsi" w:hAnsiTheme="minorHAnsi" w:cstheme="minorHAnsi"/>
                <w:i/>
                <w:iCs/>
                <w:color w:val="auto"/>
                <w:sz w:val="22"/>
                <w:szCs w:val="22"/>
              </w:rPr>
              <w:t>Baby</w:t>
            </w:r>
            <w:r w:rsidRPr="00224C4F">
              <w:rPr>
                <w:rFonts w:asciiTheme="minorHAnsi" w:hAnsiTheme="minorHAnsi" w:cstheme="minorHAnsi"/>
                <w:color w:val="auto"/>
                <w:sz w:val="22"/>
                <w:szCs w:val="22"/>
              </w:rPr>
              <w:t xml:space="preserve">] code. </w:t>
            </w:r>
          </w:p>
          <w:p w14:paraId="2F8836B1" w14:textId="38703483" w:rsidR="00545D18" w:rsidRPr="00224C4F" w:rsidRDefault="00545D18" w:rsidP="00545D18">
            <w:pPr>
              <w:pStyle w:val="Default"/>
              <w:numPr>
                <w:ilvl w:val="0"/>
                <w:numId w:val="19"/>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A </w:t>
            </w:r>
            <w:proofErr w:type="spellStart"/>
            <w:r w:rsidRPr="00224C4F">
              <w:rPr>
                <w:rFonts w:asciiTheme="minorHAnsi" w:hAnsiTheme="minorHAnsi" w:cstheme="minorHAnsi"/>
                <w:color w:val="auto"/>
                <w:sz w:val="22"/>
                <w:szCs w:val="22"/>
              </w:rPr>
              <w:t>precall</w:t>
            </w:r>
            <w:proofErr w:type="spellEnd"/>
            <w:r w:rsidRPr="00224C4F">
              <w:rPr>
                <w:rFonts w:asciiTheme="minorHAnsi" w:hAnsiTheme="minorHAnsi" w:cstheme="minorHAnsi"/>
                <w:color w:val="auto"/>
                <w:sz w:val="22"/>
                <w:szCs w:val="22"/>
              </w:rPr>
              <w:t xml:space="preserve"> is sent at 4 weeks to ensure that babies receive their 6-week immunisations on time. </w:t>
            </w:r>
          </w:p>
        </w:tc>
        <w:tc>
          <w:tcPr>
            <w:tcW w:w="1725" w:type="pct"/>
          </w:tcPr>
          <w:p w14:paraId="17A6FC58" w14:textId="77777777" w:rsidR="00545D18" w:rsidRPr="00224C4F" w:rsidRDefault="00545D18"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545D18" w:rsidRPr="00224C4F" w14:paraId="2CDB5ADD"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vAlign w:val="center"/>
          </w:tcPr>
          <w:p w14:paraId="60B22251" w14:textId="682727DC" w:rsidR="00545D18" w:rsidRPr="00224C4F" w:rsidRDefault="00545D18" w:rsidP="008A0808">
            <w:pPr>
              <w:pStyle w:val="Heading2"/>
            </w:pPr>
            <w:r w:rsidRPr="00224C4F">
              <w:t>Day-to-day administration</w:t>
            </w:r>
          </w:p>
        </w:tc>
      </w:tr>
      <w:tr w:rsidR="00224C4F" w:rsidRPr="00224C4F" w14:paraId="22BD1B5D" w14:textId="77777777" w:rsidTr="00B319C0">
        <w:trPr>
          <w:trHeight w:val="359"/>
        </w:trPr>
        <w:tc>
          <w:tcPr>
            <w:cnfStyle w:val="000010000000" w:firstRow="0" w:lastRow="0" w:firstColumn="0" w:lastColumn="0" w:oddVBand="1" w:evenVBand="0" w:oddHBand="0" w:evenHBand="0" w:firstRowFirstColumn="0" w:firstRowLastColumn="0" w:lastRowFirstColumn="0" w:lastRowLastColumn="0"/>
            <w:tcW w:w="3275" w:type="pct"/>
          </w:tcPr>
          <w:p w14:paraId="677CAE9C" w14:textId="203DCD46"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The practice liaise</w:t>
            </w:r>
            <w:r w:rsidR="00E808EC">
              <w:rPr>
                <w:rFonts w:asciiTheme="minorHAnsi" w:hAnsiTheme="minorHAnsi" w:cstheme="minorHAnsi"/>
                <w:color w:val="auto"/>
                <w:sz w:val="22"/>
                <w:szCs w:val="22"/>
              </w:rPr>
              <w:t>s</w:t>
            </w:r>
            <w:r w:rsidRPr="00224C4F">
              <w:rPr>
                <w:rFonts w:asciiTheme="minorHAnsi" w:hAnsiTheme="minorHAnsi" w:cstheme="minorHAnsi"/>
                <w:color w:val="auto"/>
                <w:sz w:val="22"/>
                <w:szCs w:val="22"/>
              </w:rPr>
              <w:t xml:space="preserve"> with the </w:t>
            </w:r>
            <w:r w:rsidR="0088436A">
              <w:rPr>
                <w:rFonts w:asciiTheme="minorHAnsi" w:hAnsiTheme="minorHAnsi" w:cstheme="minorHAnsi"/>
                <w:color w:val="auto"/>
                <w:sz w:val="22"/>
                <w:szCs w:val="22"/>
              </w:rPr>
              <w:t>AIR</w:t>
            </w:r>
            <w:r w:rsidRPr="00224C4F">
              <w:rPr>
                <w:rFonts w:asciiTheme="minorHAnsi" w:hAnsiTheme="minorHAnsi" w:cstheme="minorHAnsi"/>
                <w:color w:val="auto"/>
                <w:sz w:val="22"/>
                <w:szCs w:val="22"/>
              </w:rPr>
              <w:t xml:space="preserve"> over technical issues. </w:t>
            </w:r>
          </w:p>
          <w:p w14:paraId="35438F62" w14:textId="67C6DBE2"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Records of children receiving immunisations elsewhere or overseas are updated and messaged to the </w:t>
            </w:r>
            <w:r w:rsidR="0088436A">
              <w:rPr>
                <w:rFonts w:asciiTheme="minorHAnsi" w:hAnsiTheme="minorHAnsi" w:cstheme="minorHAnsi"/>
                <w:color w:val="auto"/>
                <w:sz w:val="22"/>
                <w:szCs w:val="22"/>
              </w:rPr>
              <w:t>AIR</w:t>
            </w:r>
            <w:r w:rsidRPr="00224C4F">
              <w:rPr>
                <w:rFonts w:asciiTheme="minorHAnsi" w:hAnsiTheme="minorHAnsi" w:cstheme="minorHAnsi"/>
                <w:color w:val="auto"/>
                <w:sz w:val="22"/>
                <w:szCs w:val="22"/>
              </w:rPr>
              <w:t xml:space="preserve">. </w:t>
            </w:r>
          </w:p>
          <w:p w14:paraId="7BE06DFA" w14:textId="111B83E8"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Patient details in the PMS are updated at every opportunity. </w:t>
            </w:r>
          </w:p>
          <w:p w14:paraId="23202FFA" w14:textId="77777777"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Catch-up schedules are documented. </w:t>
            </w:r>
          </w:p>
          <w:p w14:paraId="24DD556D" w14:textId="0B0E45E1"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The </w:t>
            </w:r>
            <w:r w:rsidR="0088436A">
              <w:rPr>
                <w:rFonts w:asciiTheme="minorHAnsi" w:hAnsiTheme="minorHAnsi" w:cstheme="minorHAnsi"/>
                <w:color w:val="auto"/>
                <w:sz w:val="22"/>
                <w:szCs w:val="22"/>
              </w:rPr>
              <w:t>AIR</w:t>
            </w:r>
            <w:r w:rsidRPr="00224C4F">
              <w:rPr>
                <w:rFonts w:asciiTheme="minorHAnsi" w:hAnsiTheme="minorHAnsi" w:cstheme="minorHAnsi"/>
                <w:color w:val="auto"/>
                <w:sz w:val="22"/>
                <w:szCs w:val="22"/>
              </w:rPr>
              <w:t xml:space="preserve"> is notified when a patient transfers into the practice. </w:t>
            </w:r>
          </w:p>
          <w:p w14:paraId="5A22F4A3" w14:textId="6517A94D"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The </w:t>
            </w:r>
            <w:r w:rsidR="0088436A">
              <w:rPr>
                <w:rFonts w:asciiTheme="minorHAnsi" w:hAnsiTheme="minorHAnsi" w:cstheme="minorHAnsi"/>
                <w:color w:val="auto"/>
                <w:sz w:val="22"/>
                <w:szCs w:val="22"/>
              </w:rPr>
              <w:t>AIR</w:t>
            </w:r>
            <w:r w:rsidRPr="00224C4F">
              <w:rPr>
                <w:rFonts w:asciiTheme="minorHAnsi" w:hAnsiTheme="minorHAnsi" w:cstheme="minorHAnsi"/>
                <w:color w:val="auto"/>
                <w:sz w:val="22"/>
                <w:szCs w:val="22"/>
              </w:rPr>
              <w:t xml:space="preserve"> is notified when medical records are transferred out to another general practitioner (GP) or when the patient is known to be overseas. </w:t>
            </w:r>
          </w:p>
          <w:p w14:paraId="0A0FFA58" w14:textId="3C15E035"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Immunisation messages in the </w:t>
            </w:r>
            <w:r w:rsidRPr="00224C4F">
              <w:rPr>
                <w:rFonts w:asciiTheme="minorHAnsi" w:hAnsiTheme="minorHAnsi" w:cstheme="minorHAnsi"/>
                <w:i/>
                <w:iCs/>
                <w:color w:val="auto"/>
                <w:sz w:val="22"/>
                <w:szCs w:val="22"/>
              </w:rPr>
              <w:t xml:space="preserve">Provider </w:t>
            </w:r>
            <w:r w:rsidR="007104E3" w:rsidRPr="00224C4F">
              <w:rPr>
                <w:rFonts w:asciiTheme="minorHAnsi" w:hAnsiTheme="minorHAnsi" w:cstheme="minorHAnsi"/>
                <w:i/>
                <w:iCs/>
                <w:color w:val="auto"/>
                <w:sz w:val="22"/>
                <w:szCs w:val="22"/>
              </w:rPr>
              <w:t>Inbox</w:t>
            </w:r>
            <w:r w:rsidRPr="00224C4F">
              <w:rPr>
                <w:rFonts w:asciiTheme="minorHAnsi" w:hAnsiTheme="minorHAnsi" w:cstheme="minorHAnsi"/>
                <w:i/>
                <w:iCs/>
                <w:color w:val="auto"/>
                <w:sz w:val="22"/>
                <w:szCs w:val="22"/>
              </w:rPr>
              <w:t xml:space="preserve"> </w:t>
            </w:r>
            <w:r w:rsidRPr="00224C4F">
              <w:rPr>
                <w:rFonts w:asciiTheme="minorHAnsi" w:hAnsiTheme="minorHAnsi" w:cstheme="minorHAnsi"/>
                <w:color w:val="auto"/>
                <w:sz w:val="22"/>
                <w:szCs w:val="22"/>
              </w:rPr>
              <w:t xml:space="preserve">are actioned daily. </w:t>
            </w:r>
          </w:p>
          <w:p w14:paraId="2203AF61" w14:textId="69E93DA3"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Immunisation information (including </w:t>
            </w:r>
            <w:r w:rsidRPr="00224C4F">
              <w:rPr>
                <w:rFonts w:asciiTheme="minorHAnsi" w:hAnsiTheme="minorHAnsi" w:cstheme="minorHAnsi"/>
                <w:i/>
                <w:iCs/>
                <w:color w:val="auto"/>
                <w:sz w:val="22"/>
                <w:szCs w:val="22"/>
              </w:rPr>
              <w:t xml:space="preserve">After your child is immunised </w:t>
            </w:r>
            <w:r w:rsidRPr="00224C4F">
              <w:rPr>
                <w:rFonts w:asciiTheme="minorHAnsi" w:hAnsiTheme="minorHAnsi" w:cstheme="minorHAnsi"/>
                <w:color w:val="auto"/>
                <w:sz w:val="22"/>
                <w:szCs w:val="22"/>
              </w:rPr>
              <w:t xml:space="preserve">[HealthEd leaflet HE1504]) and promotional resources are available. </w:t>
            </w:r>
          </w:p>
          <w:p w14:paraId="22663897" w14:textId="12DBFD10" w:rsidR="00224C4F" w:rsidRPr="00224C4F" w:rsidRDefault="00224C4F" w:rsidP="00545D18">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lastRenderedPageBreak/>
              <w:t>Ordering of vaccines is documented and timely.</w:t>
            </w:r>
          </w:p>
        </w:tc>
        <w:tc>
          <w:tcPr>
            <w:tcW w:w="1725" w:type="pct"/>
          </w:tcPr>
          <w:p w14:paraId="7B08FC1F"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8619F" w:rsidRPr="00224C4F" w14:paraId="71BA70C5"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tcPr>
          <w:p w14:paraId="17D56CC5" w14:textId="1C2BE17F" w:rsidR="00C8619F" w:rsidRPr="00C8619F" w:rsidRDefault="00C8619F" w:rsidP="00C8619F">
            <w:pPr>
              <w:pStyle w:val="Heading2"/>
            </w:pPr>
            <w:r w:rsidRPr="00224C4F">
              <w:t xml:space="preserve">Dissemination of information </w:t>
            </w:r>
          </w:p>
        </w:tc>
      </w:tr>
      <w:tr w:rsidR="00224C4F" w:rsidRPr="00224C4F" w14:paraId="6475010E" w14:textId="77777777" w:rsidTr="00B319C0">
        <w:trPr>
          <w:trHeight w:val="1511"/>
        </w:trPr>
        <w:tc>
          <w:tcPr>
            <w:cnfStyle w:val="000010000000" w:firstRow="0" w:lastRow="0" w:firstColumn="0" w:lastColumn="0" w:oddVBand="1" w:evenVBand="0" w:oddHBand="0" w:evenHBand="0" w:firstRowFirstColumn="0" w:firstRowLastColumn="0" w:lastRowFirstColumn="0" w:lastRowLastColumn="0"/>
            <w:tcW w:w="3275" w:type="pct"/>
          </w:tcPr>
          <w:p w14:paraId="0F71A8E1" w14:textId="7382CA6C" w:rsidR="00224C4F" w:rsidRPr="00224C4F" w:rsidRDefault="00224C4F" w:rsidP="00C8619F">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Immunisation is promoted in the practice, using up-to-date posters, </w:t>
            </w:r>
            <w:r w:rsidR="007B531B" w:rsidRPr="00224C4F">
              <w:rPr>
                <w:rFonts w:asciiTheme="minorHAnsi" w:hAnsiTheme="minorHAnsi" w:cstheme="minorHAnsi"/>
                <w:color w:val="auto"/>
                <w:sz w:val="22"/>
                <w:szCs w:val="22"/>
              </w:rPr>
              <w:t>pamphlets,</w:t>
            </w:r>
            <w:r w:rsidRPr="00224C4F">
              <w:rPr>
                <w:rFonts w:asciiTheme="minorHAnsi" w:hAnsiTheme="minorHAnsi" w:cstheme="minorHAnsi"/>
                <w:color w:val="auto"/>
                <w:sz w:val="22"/>
                <w:szCs w:val="22"/>
              </w:rPr>
              <w:t xml:space="preserve"> and resources. </w:t>
            </w:r>
          </w:p>
          <w:p w14:paraId="735FC2B7" w14:textId="77777777" w:rsidR="00C8619F" w:rsidRDefault="00224C4F" w:rsidP="00C8619F">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Staff are aware of health targets and coverage rates, and of any new initiatives. </w:t>
            </w:r>
          </w:p>
          <w:p w14:paraId="0AB86413" w14:textId="699AD163" w:rsidR="00224C4F" w:rsidRPr="00C8619F" w:rsidRDefault="00224C4F" w:rsidP="00C8619F">
            <w:pPr>
              <w:pStyle w:val="Default"/>
              <w:numPr>
                <w:ilvl w:val="0"/>
                <w:numId w:val="11"/>
              </w:numPr>
              <w:rPr>
                <w:rFonts w:asciiTheme="minorHAnsi" w:hAnsiTheme="minorHAnsi" w:cstheme="minorHAnsi"/>
                <w:color w:val="auto"/>
                <w:sz w:val="22"/>
                <w:szCs w:val="22"/>
              </w:rPr>
            </w:pPr>
            <w:r w:rsidRPr="00C8619F">
              <w:rPr>
                <w:rFonts w:asciiTheme="minorHAnsi" w:hAnsiTheme="minorHAnsi" w:cstheme="minorHAnsi"/>
                <w:color w:val="auto"/>
                <w:sz w:val="22"/>
                <w:szCs w:val="22"/>
              </w:rPr>
              <w:t xml:space="preserve">Ordering of educational resources is timely. </w:t>
            </w:r>
          </w:p>
        </w:tc>
        <w:tc>
          <w:tcPr>
            <w:tcW w:w="1725" w:type="pct"/>
          </w:tcPr>
          <w:p w14:paraId="68AD8931"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8619F" w:rsidRPr="00224C4F" w14:paraId="6031661D"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tcPr>
          <w:p w14:paraId="3423E5BD" w14:textId="3C15C956" w:rsidR="00C8619F" w:rsidRPr="00545D18" w:rsidRDefault="00C8619F" w:rsidP="00545D18">
            <w:pPr>
              <w:pStyle w:val="Heading2"/>
            </w:pPr>
            <w:r w:rsidRPr="00224C4F">
              <w:t xml:space="preserve">Professional support for vaccinators </w:t>
            </w:r>
          </w:p>
        </w:tc>
      </w:tr>
      <w:tr w:rsidR="00224C4F" w:rsidRPr="00224C4F" w14:paraId="63B4BCF3" w14:textId="77777777" w:rsidTr="00B319C0">
        <w:trPr>
          <w:trHeight w:val="4796"/>
        </w:trPr>
        <w:tc>
          <w:tcPr>
            <w:cnfStyle w:val="000010000000" w:firstRow="0" w:lastRow="0" w:firstColumn="0" w:lastColumn="0" w:oddVBand="1" w:evenVBand="0" w:oddHBand="0" w:evenHBand="0" w:firstRowFirstColumn="0" w:firstRowLastColumn="0" w:lastRowFirstColumn="0" w:lastRowLastColumn="0"/>
            <w:tcW w:w="3275" w:type="pct"/>
          </w:tcPr>
          <w:p w14:paraId="3F086202" w14:textId="7C99BA0B" w:rsidR="00224C4F" w:rsidRPr="00224C4F" w:rsidRDefault="00224C4F" w:rsidP="00545D18">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Immunisation best practice processes and procedures are maintained. </w:t>
            </w:r>
          </w:p>
          <w:p w14:paraId="7C55E7E3" w14:textId="4501543C" w:rsidR="00545D18" w:rsidRDefault="00224C4F" w:rsidP="00545D18">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The practice notifies the </w:t>
            </w:r>
            <w:r w:rsidR="006847E2">
              <w:rPr>
                <w:rFonts w:asciiTheme="minorHAnsi" w:hAnsiTheme="minorHAnsi" w:cstheme="minorHAnsi"/>
                <w:color w:val="auto"/>
                <w:sz w:val="22"/>
                <w:szCs w:val="22"/>
              </w:rPr>
              <w:t>P</w:t>
            </w:r>
            <w:r w:rsidRPr="00224C4F">
              <w:rPr>
                <w:rFonts w:asciiTheme="minorHAnsi" w:hAnsiTheme="minorHAnsi" w:cstheme="minorHAnsi"/>
                <w:color w:val="auto"/>
                <w:sz w:val="22"/>
                <w:szCs w:val="22"/>
              </w:rPr>
              <w:t xml:space="preserve">rimary </w:t>
            </w:r>
            <w:r w:rsidR="006847E2">
              <w:rPr>
                <w:rFonts w:asciiTheme="minorHAnsi" w:hAnsiTheme="minorHAnsi" w:cstheme="minorHAnsi"/>
                <w:color w:val="auto"/>
                <w:sz w:val="22"/>
                <w:szCs w:val="22"/>
              </w:rPr>
              <w:t>H</w:t>
            </w:r>
            <w:r w:rsidRPr="00224C4F">
              <w:rPr>
                <w:rFonts w:asciiTheme="minorHAnsi" w:hAnsiTheme="minorHAnsi" w:cstheme="minorHAnsi"/>
                <w:color w:val="auto"/>
                <w:sz w:val="22"/>
                <w:szCs w:val="22"/>
              </w:rPr>
              <w:t xml:space="preserve">ealth </w:t>
            </w:r>
            <w:r w:rsidR="006847E2">
              <w:rPr>
                <w:rFonts w:asciiTheme="minorHAnsi" w:hAnsiTheme="minorHAnsi" w:cstheme="minorHAnsi"/>
                <w:color w:val="auto"/>
                <w:sz w:val="22"/>
                <w:szCs w:val="22"/>
              </w:rPr>
              <w:t>O</w:t>
            </w:r>
            <w:r w:rsidRPr="00224C4F">
              <w:rPr>
                <w:rFonts w:asciiTheme="minorHAnsi" w:hAnsiTheme="minorHAnsi" w:cstheme="minorHAnsi"/>
                <w:color w:val="auto"/>
                <w:sz w:val="22"/>
                <w:szCs w:val="22"/>
              </w:rPr>
              <w:t xml:space="preserve">rganisation (PHO) Immunisation Coordinator and the </w:t>
            </w:r>
            <w:r w:rsidR="00647095">
              <w:rPr>
                <w:rFonts w:asciiTheme="minorHAnsi" w:hAnsiTheme="minorHAnsi" w:cstheme="minorHAnsi"/>
                <w:color w:val="auto"/>
                <w:sz w:val="22"/>
                <w:szCs w:val="22"/>
              </w:rPr>
              <w:t>AIR</w:t>
            </w:r>
            <w:r w:rsidRPr="00224C4F">
              <w:rPr>
                <w:rFonts w:asciiTheme="minorHAnsi" w:hAnsiTheme="minorHAnsi" w:cstheme="minorHAnsi"/>
                <w:color w:val="auto"/>
                <w:sz w:val="22"/>
                <w:szCs w:val="22"/>
              </w:rPr>
              <w:t xml:space="preserve"> of staff changes. </w:t>
            </w:r>
          </w:p>
          <w:p w14:paraId="4195D462" w14:textId="77777777" w:rsidR="00545D18" w:rsidRDefault="00224C4F" w:rsidP="00545D18">
            <w:pPr>
              <w:pStyle w:val="Default"/>
              <w:numPr>
                <w:ilvl w:val="0"/>
                <w:numId w:val="11"/>
              </w:numPr>
              <w:rPr>
                <w:rFonts w:asciiTheme="minorHAnsi" w:hAnsiTheme="minorHAnsi" w:cstheme="minorHAnsi"/>
                <w:color w:val="auto"/>
                <w:sz w:val="22"/>
                <w:szCs w:val="22"/>
              </w:rPr>
            </w:pPr>
            <w:r w:rsidRPr="00545D18">
              <w:rPr>
                <w:rFonts w:asciiTheme="minorHAnsi" w:hAnsiTheme="minorHAnsi" w:cstheme="minorHAnsi"/>
                <w:color w:val="auto"/>
                <w:sz w:val="22"/>
                <w:szCs w:val="22"/>
              </w:rPr>
              <w:t xml:space="preserve">Professional development of vaccinators is assured, and new vaccinators are referred to the PHO Immunisation Coordinator for full orientation and clinical assessment as needed. </w:t>
            </w:r>
          </w:p>
          <w:p w14:paraId="3CD15792" w14:textId="77777777" w:rsidR="00545D18" w:rsidRDefault="00224C4F" w:rsidP="00545D18">
            <w:pPr>
              <w:pStyle w:val="Default"/>
              <w:numPr>
                <w:ilvl w:val="0"/>
                <w:numId w:val="11"/>
              </w:numPr>
              <w:rPr>
                <w:rFonts w:asciiTheme="minorHAnsi" w:hAnsiTheme="minorHAnsi" w:cstheme="minorHAnsi"/>
                <w:color w:val="auto"/>
                <w:sz w:val="22"/>
                <w:szCs w:val="22"/>
              </w:rPr>
            </w:pPr>
            <w:r w:rsidRPr="00545D18">
              <w:rPr>
                <w:rFonts w:asciiTheme="minorHAnsi" w:hAnsiTheme="minorHAnsi" w:cstheme="minorHAnsi"/>
                <w:color w:val="auto"/>
                <w:sz w:val="22"/>
                <w:szCs w:val="22"/>
              </w:rPr>
              <w:t xml:space="preserve">An authorised user agreement (AUA) is completed and sent to the NIR for all new GPs / providers and vaccinators in the practice. </w:t>
            </w:r>
          </w:p>
          <w:p w14:paraId="3FFEF879" w14:textId="77777777" w:rsidR="00545D18" w:rsidRDefault="00224C4F" w:rsidP="00545D18">
            <w:pPr>
              <w:pStyle w:val="Default"/>
              <w:numPr>
                <w:ilvl w:val="0"/>
                <w:numId w:val="11"/>
              </w:numPr>
              <w:rPr>
                <w:rFonts w:asciiTheme="minorHAnsi" w:hAnsiTheme="minorHAnsi" w:cstheme="minorHAnsi"/>
                <w:color w:val="auto"/>
                <w:sz w:val="22"/>
                <w:szCs w:val="22"/>
              </w:rPr>
            </w:pPr>
            <w:r w:rsidRPr="00545D18">
              <w:rPr>
                <w:rFonts w:asciiTheme="minorHAnsi" w:hAnsiTheme="minorHAnsi" w:cstheme="minorHAnsi"/>
                <w:color w:val="auto"/>
                <w:sz w:val="22"/>
                <w:szCs w:val="22"/>
              </w:rPr>
              <w:t xml:space="preserve">All vaccinators are authorised with the local Medical Officer of Health. </w:t>
            </w:r>
          </w:p>
          <w:p w14:paraId="0F649AF8" w14:textId="77777777" w:rsidR="00545D18" w:rsidRDefault="00224C4F" w:rsidP="00545D18">
            <w:pPr>
              <w:pStyle w:val="Default"/>
              <w:numPr>
                <w:ilvl w:val="0"/>
                <w:numId w:val="11"/>
              </w:numPr>
              <w:rPr>
                <w:rFonts w:asciiTheme="minorHAnsi" w:hAnsiTheme="minorHAnsi" w:cstheme="minorHAnsi"/>
                <w:color w:val="auto"/>
                <w:sz w:val="22"/>
                <w:szCs w:val="22"/>
              </w:rPr>
            </w:pPr>
            <w:r w:rsidRPr="00545D18">
              <w:rPr>
                <w:rFonts w:asciiTheme="minorHAnsi" w:hAnsiTheme="minorHAnsi" w:cstheme="minorHAnsi"/>
                <w:color w:val="auto"/>
                <w:sz w:val="22"/>
                <w:szCs w:val="22"/>
              </w:rPr>
              <w:t xml:space="preserve">The practice holds a record of authorisation details and has a process in place to review / remind the vaccinator when reauthorisation is due. </w:t>
            </w:r>
          </w:p>
          <w:p w14:paraId="52E296E1" w14:textId="2A2CAFE5" w:rsidR="00224C4F" w:rsidRPr="00545D18" w:rsidRDefault="00224C4F" w:rsidP="00545D18">
            <w:pPr>
              <w:pStyle w:val="Default"/>
              <w:numPr>
                <w:ilvl w:val="0"/>
                <w:numId w:val="11"/>
              </w:numPr>
              <w:rPr>
                <w:rFonts w:asciiTheme="minorHAnsi" w:hAnsiTheme="minorHAnsi" w:cstheme="minorHAnsi"/>
                <w:color w:val="auto"/>
                <w:sz w:val="22"/>
                <w:szCs w:val="22"/>
              </w:rPr>
            </w:pPr>
            <w:r w:rsidRPr="00545D18">
              <w:rPr>
                <w:rFonts w:asciiTheme="minorHAnsi" w:hAnsiTheme="minorHAnsi" w:cstheme="minorHAnsi"/>
                <w:color w:val="auto"/>
                <w:sz w:val="22"/>
                <w:szCs w:val="22"/>
              </w:rPr>
              <w:t xml:space="preserve">Peer reviews of vaccinators for reauthorisation are completed by another authorised vaccinator or the district health board (DHB) / PHO Immunisation Coordinator. </w:t>
            </w:r>
          </w:p>
        </w:tc>
        <w:tc>
          <w:tcPr>
            <w:tcW w:w="1725" w:type="pct"/>
          </w:tcPr>
          <w:p w14:paraId="2B227379"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00A16" w:rsidRPr="00224C4F" w14:paraId="366B76E8"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tcPr>
          <w:p w14:paraId="0D169554" w14:textId="4281960F" w:rsidR="00400A16" w:rsidRPr="00400A16" w:rsidRDefault="00400A16" w:rsidP="00400A16">
            <w:pPr>
              <w:pStyle w:val="Heading2"/>
            </w:pPr>
            <w:r w:rsidRPr="00224C4F">
              <w:t xml:space="preserve">Management of adverse events following immunisation (AEFIs) </w:t>
            </w:r>
          </w:p>
        </w:tc>
      </w:tr>
      <w:tr w:rsidR="00224C4F" w:rsidRPr="00224C4F" w14:paraId="031A6C24" w14:textId="77777777" w:rsidTr="00B319C0">
        <w:trPr>
          <w:trHeight w:val="1529"/>
        </w:trPr>
        <w:tc>
          <w:tcPr>
            <w:cnfStyle w:val="000010000000" w:firstRow="0" w:lastRow="0" w:firstColumn="0" w:lastColumn="0" w:oddVBand="1" w:evenVBand="0" w:oddHBand="0" w:evenHBand="0" w:firstRowFirstColumn="0" w:firstRowLastColumn="0" w:lastRowFirstColumn="0" w:lastRowLastColumn="0"/>
            <w:tcW w:w="3275" w:type="pct"/>
          </w:tcPr>
          <w:p w14:paraId="0FAE66C0" w14:textId="162F693A" w:rsidR="00224C4F" w:rsidRPr="00224C4F" w:rsidRDefault="00224C4F" w:rsidP="00400A16">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Staff are competent to manage AEFIs. </w:t>
            </w:r>
          </w:p>
          <w:p w14:paraId="418B570F" w14:textId="77777777" w:rsidR="00400A16" w:rsidRDefault="00224C4F" w:rsidP="00400A16">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Appropriate equipment to manage AEFIs is available, and its maintenance is up to date. </w:t>
            </w:r>
          </w:p>
          <w:p w14:paraId="1BC5CC77" w14:textId="248872C1" w:rsidR="00224C4F" w:rsidRPr="00400A16" w:rsidRDefault="00224C4F" w:rsidP="00400A16">
            <w:pPr>
              <w:pStyle w:val="Default"/>
              <w:numPr>
                <w:ilvl w:val="0"/>
                <w:numId w:val="11"/>
              </w:numPr>
              <w:rPr>
                <w:rFonts w:asciiTheme="minorHAnsi" w:hAnsiTheme="minorHAnsi" w:cstheme="minorHAnsi"/>
                <w:color w:val="auto"/>
                <w:sz w:val="22"/>
                <w:szCs w:val="22"/>
              </w:rPr>
            </w:pPr>
            <w:r w:rsidRPr="00400A16">
              <w:rPr>
                <w:rFonts w:asciiTheme="minorHAnsi" w:hAnsiTheme="minorHAnsi" w:cstheme="minorHAnsi"/>
                <w:color w:val="auto"/>
                <w:sz w:val="22"/>
                <w:szCs w:val="22"/>
              </w:rPr>
              <w:t>AEFIs are notified to the Centre for Adverse Reactions Monitoring (CARM), the patient’s GP and the PHO Immunisation Coordinator</w:t>
            </w:r>
            <w:r w:rsidR="006847E2">
              <w:rPr>
                <w:rFonts w:asciiTheme="minorHAnsi" w:hAnsiTheme="minorHAnsi" w:cstheme="minorHAnsi"/>
                <w:color w:val="auto"/>
                <w:sz w:val="22"/>
                <w:szCs w:val="22"/>
              </w:rPr>
              <w:t>.</w:t>
            </w:r>
            <w:r w:rsidRPr="00400A16">
              <w:rPr>
                <w:rFonts w:asciiTheme="minorHAnsi" w:hAnsiTheme="minorHAnsi" w:cstheme="minorHAnsi"/>
                <w:color w:val="auto"/>
                <w:sz w:val="22"/>
                <w:szCs w:val="22"/>
              </w:rPr>
              <w:t xml:space="preserve"> </w:t>
            </w:r>
          </w:p>
        </w:tc>
        <w:tc>
          <w:tcPr>
            <w:tcW w:w="1725" w:type="pct"/>
          </w:tcPr>
          <w:p w14:paraId="0A694220"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00A16" w:rsidRPr="00224C4F" w14:paraId="3B8F35ED" w14:textId="77777777" w:rsidTr="00B319C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5000" w:type="pct"/>
            <w:gridSpan w:val="2"/>
          </w:tcPr>
          <w:p w14:paraId="3072B4CF" w14:textId="61AE0038" w:rsidR="00400A16" w:rsidRPr="00400A16" w:rsidRDefault="00400A16" w:rsidP="00400A16">
            <w:pPr>
              <w:pStyle w:val="Heading2"/>
            </w:pPr>
            <w:r w:rsidRPr="00224C4F">
              <w:t xml:space="preserve">Cold chain </w:t>
            </w:r>
          </w:p>
        </w:tc>
      </w:tr>
      <w:tr w:rsidR="00224C4F" w:rsidRPr="00224C4F" w14:paraId="36C58D20" w14:textId="77777777" w:rsidTr="00B319C0">
        <w:trPr>
          <w:trHeight w:val="2532"/>
        </w:trPr>
        <w:tc>
          <w:tcPr>
            <w:cnfStyle w:val="000010000000" w:firstRow="0" w:lastRow="0" w:firstColumn="0" w:lastColumn="0" w:oddVBand="1" w:evenVBand="0" w:oddHBand="0" w:evenHBand="0" w:firstRowFirstColumn="0" w:firstRowLastColumn="0" w:lastRowFirstColumn="0" w:lastRowLastColumn="0"/>
            <w:tcW w:w="3275" w:type="pct"/>
          </w:tcPr>
          <w:p w14:paraId="22DEDB80" w14:textId="25AB1808" w:rsidR="00400A16" w:rsidRDefault="00224C4F" w:rsidP="00400A16">
            <w:pPr>
              <w:pStyle w:val="Default"/>
              <w:numPr>
                <w:ilvl w:val="0"/>
                <w:numId w:val="11"/>
              </w:numPr>
              <w:ind w:left="426"/>
              <w:rPr>
                <w:rFonts w:asciiTheme="minorHAnsi" w:hAnsiTheme="minorHAnsi" w:cstheme="minorHAnsi"/>
                <w:color w:val="auto"/>
                <w:sz w:val="22"/>
                <w:szCs w:val="22"/>
              </w:rPr>
            </w:pPr>
            <w:r w:rsidRPr="00224C4F">
              <w:rPr>
                <w:rFonts w:asciiTheme="minorHAnsi" w:hAnsiTheme="minorHAnsi" w:cstheme="minorHAnsi"/>
                <w:color w:val="auto"/>
                <w:sz w:val="22"/>
                <w:szCs w:val="22"/>
              </w:rPr>
              <w:t>The practice has current Cold Chain Accreditation</w:t>
            </w:r>
            <w:r w:rsidR="006847E2">
              <w:rPr>
                <w:rFonts w:asciiTheme="minorHAnsi" w:hAnsiTheme="minorHAnsi" w:cstheme="minorHAnsi"/>
                <w:color w:val="auto"/>
                <w:sz w:val="22"/>
                <w:szCs w:val="22"/>
              </w:rPr>
              <w:t>.</w:t>
            </w:r>
          </w:p>
          <w:p w14:paraId="4C317BB6" w14:textId="2B6BF627" w:rsidR="00400A16" w:rsidRDefault="00224C4F" w:rsidP="00400A16">
            <w:pPr>
              <w:pStyle w:val="Default"/>
              <w:numPr>
                <w:ilvl w:val="0"/>
                <w:numId w:val="11"/>
              </w:numPr>
              <w:ind w:left="426"/>
              <w:rPr>
                <w:rFonts w:asciiTheme="minorHAnsi" w:hAnsiTheme="minorHAnsi" w:cstheme="minorHAnsi"/>
                <w:color w:val="auto"/>
                <w:sz w:val="22"/>
                <w:szCs w:val="22"/>
              </w:rPr>
            </w:pPr>
            <w:r w:rsidRPr="00400A16">
              <w:rPr>
                <w:rFonts w:asciiTheme="minorHAnsi" w:hAnsiTheme="minorHAnsi" w:cstheme="minorHAnsi"/>
                <w:color w:val="auto"/>
                <w:sz w:val="22"/>
                <w:szCs w:val="22"/>
              </w:rPr>
              <w:t xml:space="preserve">Advice is sought when necessary if cold chain problems occur, </w:t>
            </w:r>
            <w:r w:rsidR="006847E2" w:rsidRPr="00400A16">
              <w:rPr>
                <w:rFonts w:asciiTheme="minorHAnsi" w:hAnsiTheme="minorHAnsi" w:cstheme="minorHAnsi"/>
                <w:color w:val="auto"/>
                <w:sz w:val="22"/>
                <w:szCs w:val="22"/>
              </w:rPr>
              <w:t>e.g.,</w:t>
            </w:r>
            <w:r w:rsidRPr="00400A16">
              <w:rPr>
                <w:rFonts w:asciiTheme="minorHAnsi" w:hAnsiTheme="minorHAnsi" w:cstheme="minorHAnsi"/>
                <w:color w:val="auto"/>
                <w:sz w:val="22"/>
                <w:szCs w:val="22"/>
              </w:rPr>
              <w:t xml:space="preserve"> fridge failure / data logger problems. </w:t>
            </w:r>
          </w:p>
          <w:p w14:paraId="3C4C28B4" w14:textId="77777777" w:rsidR="00400A16" w:rsidRDefault="00224C4F" w:rsidP="00400A16">
            <w:pPr>
              <w:pStyle w:val="Default"/>
              <w:numPr>
                <w:ilvl w:val="0"/>
                <w:numId w:val="11"/>
              </w:numPr>
              <w:ind w:left="426"/>
              <w:rPr>
                <w:rFonts w:asciiTheme="minorHAnsi" w:hAnsiTheme="minorHAnsi" w:cstheme="minorHAnsi"/>
                <w:color w:val="auto"/>
                <w:sz w:val="22"/>
                <w:szCs w:val="22"/>
              </w:rPr>
            </w:pPr>
            <w:r w:rsidRPr="00400A16">
              <w:rPr>
                <w:rFonts w:asciiTheme="minorHAnsi" w:hAnsiTheme="minorHAnsi" w:cstheme="minorHAnsi"/>
                <w:color w:val="auto"/>
                <w:sz w:val="22"/>
                <w:szCs w:val="22"/>
              </w:rPr>
              <w:t xml:space="preserve">The practice has a relationship with the DHB / PHO Cold Chain Coordinator. </w:t>
            </w:r>
          </w:p>
          <w:p w14:paraId="6412E217" w14:textId="77777777" w:rsidR="00400A16" w:rsidRDefault="00224C4F" w:rsidP="00400A16">
            <w:pPr>
              <w:pStyle w:val="Default"/>
              <w:numPr>
                <w:ilvl w:val="0"/>
                <w:numId w:val="11"/>
              </w:numPr>
              <w:ind w:left="426"/>
              <w:rPr>
                <w:rFonts w:asciiTheme="minorHAnsi" w:hAnsiTheme="minorHAnsi" w:cstheme="minorHAnsi"/>
                <w:color w:val="auto"/>
                <w:sz w:val="22"/>
                <w:szCs w:val="22"/>
              </w:rPr>
            </w:pPr>
            <w:r w:rsidRPr="00400A16">
              <w:rPr>
                <w:rFonts w:asciiTheme="minorHAnsi" w:hAnsiTheme="minorHAnsi" w:cstheme="minorHAnsi"/>
                <w:color w:val="auto"/>
                <w:sz w:val="22"/>
                <w:szCs w:val="22"/>
              </w:rPr>
              <w:t xml:space="preserve">The cold chain policy is reviewed and updated annually, and this is documented. </w:t>
            </w:r>
          </w:p>
          <w:p w14:paraId="78AB9062" w14:textId="2A504279" w:rsidR="00224C4F" w:rsidRPr="00400A16" w:rsidRDefault="00224C4F" w:rsidP="00400A16">
            <w:pPr>
              <w:pStyle w:val="Default"/>
              <w:numPr>
                <w:ilvl w:val="0"/>
                <w:numId w:val="11"/>
              </w:numPr>
              <w:ind w:left="426"/>
              <w:rPr>
                <w:rFonts w:asciiTheme="minorHAnsi" w:hAnsiTheme="minorHAnsi" w:cstheme="minorHAnsi"/>
                <w:color w:val="auto"/>
                <w:sz w:val="22"/>
                <w:szCs w:val="22"/>
              </w:rPr>
            </w:pPr>
            <w:r w:rsidRPr="00400A16">
              <w:rPr>
                <w:rFonts w:asciiTheme="minorHAnsi" w:hAnsiTheme="minorHAnsi" w:cstheme="minorHAnsi"/>
                <w:color w:val="auto"/>
                <w:sz w:val="22"/>
                <w:szCs w:val="22"/>
              </w:rPr>
              <w:t xml:space="preserve">The practice has a plan in place to replace its vaccine fridge before or at 10 years of age. </w:t>
            </w:r>
          </w:p>
        </w:tc>
        <w:tc>
          <w:tcPr>
            <w:tcW w:w="1725" w:type="pct"/>
          </w:tcPr>
          <w:p w14:paraId="65CE4F50"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00A16" w:rsidRPr="00224C4F" w14:paraId="6B077657" w14:textId="77777777" w:rsidTr="00B319C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000" w:type="pct"/>
            <w:gridSpan w:val="2"/>
          </w:tcPr>
          <w:p w14:paraId="64F6CC46" w14:textId="13AEEA96" w:rsidR="00400A16" w:rsidRPr="00400A16" w:rsidRDefault="00400A16" w:rsidP="00400A16">
            <w:pPr>
              <w:pStyle w:val="Heading2"/>
            </w:pPr>
            <w:r w:rsidRPr="00224C4F">
              <w:lastRenderedPageBreak/>
              <w:t xml:space="preserve">Quality initiatives </w:t>
            </w:r>
          </w:p>
        </w:tc>
      </w:tr>
      <w:tr w:rsidR="00224C4F" w:rsidRPr="00224C4F" w14:paraId="7DF63263" w14:textId="77777777" w:rsidTr="00B319C0">
        <w:trPr>
          <w:trHeight w:val="3077"/>
        </w:trPr>
        <w:tc>
          <w:tcPr>
            <w:cnfStyle w:val="000010000000" w:firstRow="0" w:lastRow="0" w:firstColumn="0" w:lastColumn="0" w:oddVBand="1" w:evenVBand="0" w:oddHBand="0" w:evenHBand="0" w:firstRowFirstColumn="0" w:firstRowLastColumn="0" w:lastRowFirstColumn="0" w:lastRowLastColumn="0"/>
            <w:tcW w:w="3275" w:type="pct"/>
          </w:tcPr>
          <w:p w14:paraId="68CE0342" w14:textId="464ABCCD" w:rsidR="00224C4F" w:rsidRPr="00224C4F" w:rsidRDefault="00224C4F" w:rsidP="00400A16">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PMS tools are used to maximise effectiveness, </w:t>
            </w:r>
            <w:r w:rsidR="006847E2" w:rsidRPr="00224C4F">
              <w:rPr>
                <w:rFonts w:asciiTheme="minorHAnsi" w:hAnsiTheme="minorHAnsi" w:cstheme="minorHAnsi"/>
                <w:color w:val="auto"/>
                <w:sz w:val="22"/>
                <w:szCs w:val="22"/>
              </w:rPr>
              <w:t>e.g.,</w:t>
            </w:r>
            <w:r w:rsidRPr="00224C4F">
              <w:rPr>
                <w:rFonts w:asciiTheme="minorHAnsi" w:hAnsiTheme="minorHAnsi" w:cstheme="minorHAnsi"/>
                <w:color w:val="auto"/>
                <w:sz w:val="22"/>
                <w:szCs w:val="22"/>
              </w:rPr>
              <w:t xml:space="preserve"> </w:t>
            </w:r>
            <w:r w:rsidRPr="00224C4F">
              <w:rPr>
                <w:rFonts w:asciiTheme="minorHAnsi" w:hAnsiTheme="minorHAnsi" w:cstheme="minorHAnsi"/>
                <w:i/>
                <w:iCs/>
                <w:color w:val="auto"/>
                <w:sz w:val="22"/>
                <w:szCs w:val="22"/>
              </w:rPr>
              <w:t>Patient Alert</w:t>
            </w:r>
            <w:r w:rsidRPr="00224C4F">
              <w:rPr>
                <w:rFonts w:asciiTheme="minorHAnsi" w:hAnsiTheme="minorHAnsi" w:cstheme="minorHAnsi"/>
                <w:color w:val="auto"/>
                <w:sz w:val="22"/>
                <w:szCs w:val="22"/>
              </w:rPr>
              <w:t xml:space="preserve">, </w:t>
            </w:r>
            <w:r w:rsidRPr="00224C4F">
              <w:rPr>
                <w:rFonts w:asciiTheme="minorHAnsi" w:hAnsiTheme="minorHAnsi" w:cstheme="minorHAnsi"/>
                <w:i/>
                <w:iCs/>
                <w:color w:val="auto"/>
                <w:sz w:val="22"/>
                <w:szCs w:val="22"/>
              </w:rPr>
              <w:t>Text to Remind</w:t>
            </w:r>
            <w:r w:rsidRPr="00224C4F">
              <w:rPr>
                <w:rFonts w:asciiTheme="minorHAnsi" w:hAnsiTheme="minorHAnsi" w:cstheme="minorHAnsi"/>
                <w:color w:val="auto"/>
                <w:sz w:val="22"/>
                <w:szCs w:val="22"/>
              </w:rPr>
              <w:t xml:space="preserve">, </w:t>
            </w:r>
            <w:r w:rsidRPr="00224C4F">
              <w:rPr>
                <w:rFonts w:asciiTheme="minorHAnsi" w:hAnsiTheme="minorHAnsi" w:cstheme="minorHAnsi"/>
                <w:i/>
                <w:iCs/>
                <w:color w:val="auto"/>
                <w:sz w:val="22"/>
                <w:szCs w:val="22"/>
              </w:rPr>
              <w:t>Dr Info</w:t>
            </w:r>
            <w:r w:rsidRPr="00224C4F">
              <w:rPr>
                <w:rFonts w:asciiTheme="minorHAnsi" w:hAnsiTheme="minorHAnsi" w:cstheme="minorHAnsi"/>
                <w:color w:val="auto"/>
                <w:sz w:val="22"/>
                <w:szCs w:val="22"/>
              </w:rPr>
              <w:t xml:space="preserve">, </w:t>
            </w:r>
            <w:r w:rsidRPr="00224C4F">
              <w:rPr>
                <w:rFonts w:asciiTheme="minorHAnsi" w:hAnsiTheme="minorHAnsi" w:cstheme="minorHAnsi"/>
                <w:i/>
                <w:iCs/>
                <w:color w:val="auto"/>
                <w:sz w:val="22"/>
                <w:szCs w:val="22"/>
              </w:rPr>
              <w:t xml:space="preserve">Query </w:t>
            </w:r>
            <w:r w:rsidR="006847E2" w:rsidRPr="00224C4F">
              <w:rPr>
                <w:rFonts w:asciiTheme="minorHAnsi" w:hAnsiTheme="minorHAnsi" w:cstheme="minorHAnsi"/>
                <w:i/>
                <w:iCs/>
                <w:color w:val="auto"/>
                <w:sz w:val="22"/>
                <w:szCs w:val="22"/>
              </w:rPr>
              <w:t>Builders,</w:t>
            </w:r>
            <w:r w:rsidRPr="00224C4F">
              <w:rPr>
                <w:rFonts w:asciiTheme="minorHAnsi" w:hAnsiTheme="minorHAnsi" w:cstheme="minorHAnsi"/>
                <w:i/>
                <w:iCs/>
                <w:color w:val="auto"/>
                <w:sz w:val="22"/>
                <w:szCs w:val="22"/>
              </w:rPr>
              <w:t xml:space="preserve"> </w:t>
            </w:r>
            <w:r w:rsidRPr="00224C4F">
              <w:rPr>
                <w:rFonts w:asciiTheme="minorHAnsi" w:hAnsiTheme="minorHAnsi" w:cstheme="minorHAnsi"/>
                <w:color w:val="auto"/>
                <w:sz w:val="22"/>
                <w:szCs w:val="22"/>
              </w:rPr>
              <w:t xml:space="preserve">and audits. </w:t>
            </w:r>
          </w:p>
          <w:p w14:paraId="425FF689" w14:textId="1E66FB89" w:rsidR="00224C4F" w:rsidRPr="00224C4F" w:rsidRDefault="00224C4F" w:rsidP="00400A16">
            <w:pPr>
              <w:pStyle w:val="Default"/>
              <w:numPr>
                <w:ilvl w:val="0"/>
                <w:numId w:val="11"/>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The practice has current standing orders in place for use: </w:t>
            </w:r>
          </w:p>
          <w:p w14:paraId="7681AD66" w14:textId="6FCC8A3D" w:rsidR="00224C4F" w:rsidRPr="00224C4F" w:rsidRDefault="00224C4F" w:rsidP="00400A16">
            <w:pPr>
              <w:pStyle w:val="Default"/>
              <w:numPr>
                <w:ilvl w:val="1"/>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When administering non-Schedule vaccines </w:t>
            </w:r>
          </w:p>
          <w:p w14:paraId="67E614C5" w14:textId="544B2943" w:rsidR="00224C4F" w:rsidRPr="00224C4F" w:rsidRDefault="00224C4F" w:rsidP="00400A16">
            <w:pPr>
              <w:pStyle w:val="Default"/>
              <w:numPr>
                <w:ilvl w:val="1"/>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By non-authorised vaccinators administering vaccines </w:t>
            </w:r>
          </w:p>
          <w:p w14:paraId="68EA1227" w14:textId="3E214F4B" w:rsidR="00400A16" w:rsidRDefault="00224C4F" w:rsidP="00400A16">
            <w:pPr>
              <w:pStyle w:val="Default"/>
              <w:numPr>
                <w:ilvl w:val="0"/>
                <w:numId w:val="20"/>
              </w:numPr>
              <w:rPr>
                <w:rFonts w:asciiTheme="minorHAnsi" w:hAnsiTheme="minorHAnsi" w:cstheme="minorHAnsi"/>
                <w:color w:val="auto"/>
                <w:sz w:val="22"/>
                <w:szCs w:val="22"/>
              </w:rPr>
            </w:pPr>
            <w:r w:rsidRPr="00224C4F">
              <w:rPr>
                <w:rFonts w:asciiTheme="minorHAnsi" w:hAnsiTheme="minorHAnsi" w:cstheme="minorHAnsi"/>
                <w:color w:val="auto"/>
                <w:sz w:val="22"/>
                <w:szCs w:val="22"/>
              </w:rPr>
              <w:t xml:space="preserve">The practice manages its </w:t>
            </w:r>
            <w:r w:rsidRPr="00224C4F">
              <w:rPr>
                <w:rFonts w:asciiTheme="minorHAnsi" w:hAnsiTheme="minorHAnsi" w:cstheme="minorHAnsi"/>
                <w:i/>
                <w:iCs/>
                <w:color w:val="auto"/>
                <w:sz w:val="22"/>
                <w:szCs w:val="22"/>
              </w:rPr>
              <w:t xml:space="preserve">Provider </w:t>
            </w:r>
            <w:r w:rsidR="006847E2" w:rsidRPr="00224C4F">
              <w:rPr>
                <w:rFonts w:asciiTheme="minorHAnsi" w:hAnsiTheme="minorHAnsi" w:cstheme="minorHAnsi"/>
                <w:i/>
                <w:iCs/>
                <w:color w:val="auto"/>
                <w:sz w:val="22"/>
                <w:szCs w:val="22"/>
              </w:rPr>
              <w:t>Inbox</w:t>
            </w:r>
            <w:r w:rsidRPr="00224C4F">
              <w:rPr>
                <w:rFonts w:asciiTheme="minorHAnsi" w:hAnsiTheme="minorHAnsi" w:cstheme="minorHAnsi"/>
                <w:i/>
                <w:iCs/>
                <w:color w:val="auto"/>
                <w:sz w:val="22"/>
                <w:szCs w:val="22"/>
              </w:rPr>
              <w:t xml:space="preserve"> </w:t>
            </w:r>
            <w:r w:rsidRPr="00224C4F">
              <w:rPr>
                <w:rFonts w:asciiTheme="minorHAnsi" w:hAnsiTheme="minorHAnsi" w:cstheme="minorHAnsi"/>
                <w:color w:val="auto"/>
                <w:sz w:val="22"/>
                <w:szCs w:val="22"/>
              </w:rPr>
              <w:t xml:space="preserve">and message transfer facility to identify immunisation records that are not messaging to or from the </w:t>
            </w:r>
            <w:r w:rsidR="0088436A">
              <w:rPr>
                <w:rFonts w:asciiTheme="minorHAnsi" w:hAnsiTheme="minorHAnsi" w:cstheme="minorHAnsi"/>
                <w:color w:val="auto"/>
                <w:sz w:val="22"/>
                <w:szCs w:val="22"/>
              </w:rPr>
              <w:t>AIR</w:t>
            </w:r>
            <w:r w:rsidRPr="00224C4F">
              <w:rPr>
                <w:rFonts w:asciiTheme="minorHAnsi" w:hAnsiTheme="minorHAnsi" w:cstheme="minorHAnsi"/>
                <w:color w:val="auto"/>
                <w:sz w:val="22"/>
                <w:szCs w:val="22"/>
              </w:rPr>
              <w:t xml:space="preserve"> (</w:t>
            </w:r>
            <w:r w:rsidR="006847E2" w:rsidRPr="00224C4F">
              <w:rPr>
                <w:rFonts w:asciiTheme="minorHAnsi" w:hAnsiTheme="minorHAnsi" w:cstheme="minorHAnsi"/>
                <w:color w:val="auto"/>
                <w:sz w:val="22"/>
                <w:szCs w:val="22"/>
              </w:rPr>
              <w:t>e.g.,</w:t>
            </w:r>
            <w:r w:rsidRPr="00224C4F">
              <w:rPr>
                <w:rFonts w:asciiTheme="minorHAnsi" w:hAnsiTheme="minorHAnsi" w:cstheme="minorHAnsi"/>
                <w:color w:val="auto"/>
                <w:sz w:val="22"/>
                <w:szCs w:val="22"/>
              </w:rPr>
              <w:t xml:space="preserve"> records that require information on the next of kin, National Health Index [NHI] number or vaccination site).</w:t>
            </w:r>
          </w:p>
          <w:p w14:paraId="7CB59835" w14:textId="02C8B590" w:rsidR="00224C4F" w:rsidRPr="00400A16" w:rsidRDefault="00224C4F" w:rsidP="00400A16">
            <w:pPr>
              <w:pStyle w:val="Default"/>
              <w:numPr>
                <w:ilvl w:val="0"/>
                <w:numId w:val="20"/>
              </w:numPr>
              <w:rPr>
                <w:rFonts w:asciiTheme="minorHAnsi" w:hAnsiTheme="minorHAnsi" w:cstheme="minorHAnsi"/>
                <w:color w:val="auto"/>
                <w:sz w:val="22"/>
                <w:szCs w:val="22"/>
              </w:rPr>
            </w:pPr>
            <w:r w:rsidRPr="00400A16">
              <w:rPr>
                <w:rFonts w:asciiTheme="minorHAnsi" w:hAnsiTheme="minorHAnsi" w:cstheme="minorHAnsi"/>
                <w:color w:val="auto"/>
                <w:sz w:val="22"/>
                <w:szCs w:val="22"/>
              </w:rPr>
              <w:t xml:space="preserve">The practice liaises with the DHB / PHO Immunisation Coordinator when necessary. </w:t>
            </w:r>
          </w:p>
        </w:tc>
        <w:tc>
          <w:tcPr>
            <w:tcW w:w="1725" w:type="pct"/>
          </w:tcPr>
          <w:p w14:paraId="6EA2FDF9"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224C4F" w:rsidRPr="00224C4F" w14:paraId="5E0D4CF1" w14:textId="77777777" w:rsidTr="00B319C0">
        <w:trPr>
          <w:cnfStyle w:val="000000100000" w:firstRow="0" w:lastRow="0" w:firstColumn="0" w:lastColumn="0" w:oddVBand="0" w:evenVBand="0" w:oddHBand="1" w:evenHBand="0" w:firstRowFirstColumn="0" w:firstRowLastColumn="0" w:lastRowFirstColumn="0" w:lastRowLastColumn="0"/>
          <w:trHeight w:val="2294"/>
        </w:trPr>
        <w:tc>
          <w:tcPr>
            <w:cnfStyle w:val="000010000000" w:firstRow="0" w:lastRow="0" w:firstColumn="0" w:lastColumn="0" w:oddVBand="1" w:evenVBand="0" w:oddHBand="0" w:evenHBand="0" w:firstRowFirstColumn="0" w:firstRowLastColumn="0" w:lastRowFirstColumn="0" w:lastRowLastColumn="0"/>
            <w:tcW w:w="3275" w:type="pct"/>
          </w:tcPr>
          <w:p w14:paraId="7423D8A8" w14:textId="77777777" w:rsidR="00224C4F" w:rsidRPr="00400A16" w:rsidRDefault="00224C4F" w:rsidP="00224C4F">
            <w:pPr>
              <w:pStyle w:val="Default"/>
              <w:rPr>
                <w:rFonts w:asciiTheme="minorHAnsi" w:hAnsiTheme="minorHAnsi" w:cstheme="minorHAnsi"/>
                <w:color w:val="auto"/>
                <w:sz w:val="22"/>
                <w:szCs w:val="22"/>
              </w:rPr>
            </w:pPr>
            <w:r w:rsidRPr="00400A16">
              <w:rPr>
                <w:rFonts w:asciiTheme="minorHAnsi" w:hAnsiTheme="minorHAnsi" w:cstheme="minorHAnsi"/>
                <w:color w:val="auto"/>
                <w:sz w:val="22"/>
                <w:szCs w:val="22"/>
              </w:rPr>
              <w:t>In the Patient Register window (F3)</w:t>
            </w:r>
          </w:p>
          <w:p w14:paraId="1E3B9101" w14:textId="543CB462"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 xml:space="preserve">Name </w:t>
            </w:r>
            <w:r w:rsidR="006847E2">
              <w:rPr>
                <w:rFonts w:asciiTheme="minorHAnsi" w:hAnsiTheme="minorHAnsi" w:cstheme="minorHAnsi"/>
                <w:color w:val="auto"/>
                <w:sz w:val="22"/>
                <w:szCs w:val="22"/>
              </w:rPr>
              <w:t>a</w:t>
            </w:r>
            <w:r w:rsidRPr="00400A16">
              <w:rPr>
                <w:rFonts w:asciiTheme="minorHAnsi" w:hAnsiTheme="minorHAnsi" w:cstheme="minorHAnsi"/>
                <w:color w:val="auto"/>
                <w:sz w:val="22"/>
                <w:szCs w:val="22"/>
              </w:rPr>
              <w:t>nd Address of patient</w:t>
            </w:r>
          </w:p>
          <w:p w14:paraId="6E36A376" w14:textId="77272076"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Date of Birth</w:t>
            </w:r>
          </w:p>
          <w:p w14:paraId="4129C660" w14:textId="1842E48A"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NHI number</w:t>
            </w:r>
          </w:p>
          <w:p w14:paraId="7AAC28EA" w14:textId="122E8EE7"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Gender</w:t>
            </w:r>
          </w:p>
          <w:p w14:paraId="39AA8342" w14:textId="3B883197"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Ethnicity</w:t>
            </w:r>
          </w:p>
          <w:p w14:paraId="5D7A4454" w14:textId="4DACFAA4"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Next of Kin [and relationship] / Employer 5 tab</w:t>
            </w:r>
          </w:p>
          <w:p w14:paraId="5B19D02C" w14:textId="20DC3424" w:rsidR="00224C4F" w:rsidRPr="00400A16" w:rsidRDefault="00224C4F" w:rsidP="00400A16">
            <w:pPr>
              <w:pStyle w:val="Default"/>
              <w:numPr>
                <w:ilvl w:val="0"/>
                <w:numId w:val="24"/>
              </w:numPr>
              <w:rPr>
                <w:rFonts w:asciiTheme="minorHAnsi" w:hAnsiTheme="minorHAnsi" w:cstheme="minorHAnsi"/>
                <w:color w:val="auto"/>
                <w:sz w:val="22"/>
                <w:szCs w:val="22"/>
              </w:rPr>
            </w:pPr>
            <w:r w:rsidRPr="00400A16">
              <w:rPr>
                <w:rFonts w:asciiTheme="minorHAnsi" w:hAnsiTheme="minorHAnsi" w:cstheme="minorHAnsi"/>
                <w:color w:val="auto"/>
                <w:sz w:val="22"/>
                <w:szCs w:val="22"/>
              </w:rPr>
              <w:t>Enrolment status</w:t>
            </w:r>
          </w:p>
        </w:tc>
        <w:tc>
          <w:tcPr>
            <w:tcW w:w="1725" w:type="pct"/>
          </w:tcPr>
          <w:p w14:paraId="1D1587F4" w14:textId="77777777" w:rsidR="00224C4F" w:rsidRPr="00224C4F" w:rsidRDefault="00224C4F" w:rsidP="00DC1C2F">
            <w:pPr>
              <w:kinsoku w:val="0"/>
              <w:overflowPunct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24C4F" w:rsidRPr="00224C4F" w14:paraId="4B5DF858" w14:textId="77777777" w:rsidTr="00B319C0">
        <w:trPr>
          <w:trHeight w:val="2321"/>
        </w:trPr>
        <w:tc>
          <w:tcPr>
            <w:cnfStyle w:val="000010000000" w:firstRow="0" w:lastRow="0" w:firstColumn="0" w:lastColumn="0" w:oddVBand="1" w:evenVBand="0" w:oddHBand="0" w:evenHBand="0" w:firstRowFirstColumn="0" w:firstRowLastColumn="0" w:lastRowFirstColumn="0" w:lastRowLastColumn="0"/>
            <w:tcW w:w="3275" w:type="pct"/>
          </w:tcPr>
          <w:p w14:paraId="7F8CB57E" w14:textId="77777777" w:rsidR="00224C4F" w:rsidRPr="00400A16" w:rsidRDefault="00224C4F" w:rsidP="00224C4F">
            <w:pPr>
              <w:pStyle w:val="Default"/>
              <w:rPr>
                <w:rFonts w:asciiTheme="minorHAnsi" w:hAnsiTheme="minorHAnsi" w:cstheme="minorHAnsi"/>
                <w:color w:val="auto"/>
                <w:sz w:val="22"/>
                <w:szCs w:val="22"/>
              </w:rPr>
            </w:pPr>
            <w:r w:rsidRPr="00400A16">
              <w:rPr>
                <w:rFonts w:asciiTheme="minorHAnsi" w:hAnsiTheme="minorHAnsi" w:cstheme="minorHAnsi"/>
                <w:color w:val="auto"/>
                <w:sz w:val="22"/>
                <w:szCs w:val="22"/>
              </w:rPr>
              <w:t>In the Immunisation Status window (F4)</w:t>
            </w:r>
          </w:p>
          <w:p w14:paraId="541B9BB5" w14:textId="5C63E98C" w:rsidR="00224C4F" w:rsidRPr="00400A16" w:rsidRDefault="00224C4F" w:rsidP="00400A16">
            <w:pPr>
              <w:pStyle w:val="Default"/>
              <w:numPr>
                <w:ilvl w:val="0"/>
                <w:numId w:val="25"/>
              </w:numPr>
              <w:rPr>
                <w:rFonts w:asciiTheme="minorHAnsi" w:hAnsiTheme="minorHAnsi" w:cstheme="minorHAnsi"/>
                <w:color w:val="auto"/>
                <w:sz w:val="22"/>
                <w:szCs w:val="22"/>
              </w:rPr>
            </w:pPr>
            <w:r w:rsidRPr="00400A16">
              <w:rPr>
                <w:rFonts w:asciiTheme="minorHAnsi" w:hAnsiTheme="minorHAnsi" w:cstheme="minorHAnsi"/>
                <w:color w:val="auto"/>
                <w:sz w:val="22"/>
                <w:szCs w:val="22"/>
              </w:rPr>
              <w:t>Schedule Selection 3 tab</w:t>
            </w:r>
          </w:p>
          <w:p w14:paraId="78B7B582" w14:textId="51C3C8EA" w:rsidR="00224C4F" w:rsidRPr="00647095" w:rsidRDefault="00224C4F" w:rsidP="00647095">
            <w:pPr>
              <w:pStyle w:val="Default"/>
              <w:numPr>
                <w:ilvl w:val="0"/>
                <w:numId w:val="25"/>
              </w:numPr>
              <w:rPr>
                <w:rFonts w:asciiTheme="minorHAnsi" w:hAnsiTheme="minorHAnsi" w:cstheme="minorHAnsi"/>
                <w:color w:val="auto"/>
                <w:sz w:val="22"/>
                <w:szCs w:val="22"/>
              </w:rPr>
            </w:pPr>
            <w:r w:rsidRPr="00400A16">
              <w:rPr>
                <w:rFonts w:asciiTheme="minorHAnsi" w:hAnsiTheme="minorHAnsi" w:cstheme="minorHAnsi"/>
                <w:color w:val="auto"/>
                <w:sz w:val="22"/>
                <w:szCs w:val="22"/>
              </w:rPr>
              <w:t>Correct Schedule selected</w:t>
            </w:r>
          </w:p>
          <w:p w14:paraId="3ABB2A99" w14:textId="7111A39A" w:rsidR="00224C4F" w:rsidRPr="00400A16" w:rsidRDefault="00224C4F" w:rsidP="00400A16">
            <w:pPr>
              <w:pStyle w:val="Default"/>
              <w:numPr>
                <w:ilvl w:val="0"/>
                <w:numId w:val="25"/>
              </w:numPr>
              <w:rPr>
                <w:rFonts w:asciiTheme="minorHAnsi" w:hAnsiTheme="minorHAnsi" w:cstheme="minorHAnsi"/>
                <w:color w:val="auto"/>
                <w:sz w:val="22"/>
                <w:szCs w:val="22"/>
              </w:rPr>
            </w:pPr>
            <w:r w:rsidRPr="00400A16">
              <w:rPr>
                <w:rFonts w:asciiTheme="minorHAnsi" w:hAnsiTheme="minorHAnsi" w:cstheme="minorHAnsi"/>
                <w:color w:val="auto"/>
                <w:sz w:val="22"/>
                <w:szCs w:val="22"/>
              </w:rPr>
              <w:t>Immunisation Schedule 1 tab or All Immunisations 2 tab</w:t>
            </w:r>
          </w:p>
          <w:p w14:paraId="395DF87D" w14:textId="14A71A33" w:rsidR="00224C4F" w:rsidRPr="00400A16" w:rsidRDefault="00224C4F" w:rsidP="00400A16">
            <w:pPr>
              <w:pStyle w:val="Default"/>
              <w:numPr>
                <w:ilvl w:val="0"/>
                <w:numId w:val="25"/>
              </w:numPr>
              <w:rPr>
                <w:rFonts w:asciiTheme="minorHAnsi" w:hAnsiTheme="minorHAnsi" w:cstheme="minorHAnsi"/>
                <w:color w:val="auto"/>
                <w:sz w:val="22"/>
                <w:szCs w:val="22"/>
              </w:rPr>
            </w:pPr>
            <w:r w:rsidRPr="00400A16">
              <w:rPr>
                <w:rFonts w:asciiTheme="minorHAnsi" w:hAnsiTheme="minorHAnsi" w:cstheme="minorHAnsi"/>
                <w:color w:val="auto"/>
                <w:sz w:val="22"/>
                <w:szCs w:val="22"/>
              </w:rPr>
              <w:t>Provider (</w:t>
            </w:r>
            <w:proofErr w:type="spellStart"/>
            <w:r w:rsidRPr="00400A16">
              <w:rPr>
                <w:rFonts w:asciiTheme="minorHAnsi" w:hAnsiTheme="minorHAnsi" w:cstheme="minorHAnsi"/>
                <w:color w:val="auto"/>
                <w:sz w:val="22"/>
                <w:szCs w:val="22"/>
              </w:rPr>
              <w:t>Prov</w:t>
            </w:r>
            <w:proofErr w:type="spellEnd"/>
            <w:r w:rsidRPr="00400A16">
              <w:rPr>
                <w:rFonts w:asciiTheme="minorHAnsi" w:hAnsiTheme="minorHAnsi" w:cstheme="minorHAnsi"/>
                <w:color w:val="auto"/>
                <w:sz w:val="22"/>
                <w:szCs w:val="22"/>
              </w:rPr>
              <w:t>) must be the name of a doctor</w:t>
            </w:r>
          </w:p>
          <w:p w14:paraId="6512A322" w14:textId="1BA0262C" w:rsidR="00224C4F" w:rsidRPr="00400A16" w:rsidRDefault="00224C4F" w:rsidP="00400A16">
            <w:pPr>
              <w:pStyle w:val="Default"/>
              <w:numPr>
                <w:ilvl w:val="0"/>
                <w:numId w:val="25"/>
              </w:numPr>
              <w:rPr>
                <w:rFonts w:asciiTheme="minorHAnsi" w:hAnsiTheme="minorHAnsi" w:cstheme="minorHAnsi"/>
                <w:color w:val="auto"/>
                <w:sz w:val="22"/>
                <w:szCs w:val="22"/>
              </w:rPr>
            </w:pPr>
            <w:r w:rsidRPr="00400A16">
              <w:rPr>
                <w:rFonts w:asciiTheme="minorHAnsi" w:hAnsiTheme="minorHAnsi" w:cstheme="minorHAnsi"/>
                <w:color w:val="auto"/>
                <w:sz w:val="22"/>
                <w:szCs w:val="22"/>
              </w:rPr>
              <w:t>Vaccinator (Vacc) name of the nurse</w:t>
            </w:r>
          </w:p>
          <w:p w14:paraId="3D127714" w14:textId="4B0DCCF3" w:rsidR="00224C4F" w:rsidRPr="00400A16" w:rsidRDefault="00224C4F" w:rsidP="00400A16">
            <w:pPr>
              <w:pStyle w:val="Default"/>
              <w:numPr>
                <w:ilvl w:val="0"/>
                <w:numId w:val="25"/>
              </w:numPr>
              <w:rPr>
                <w:rFonts w:asciiTheme="minorHAnsi" w:hAnsiTheme="minorHAnsi" w:cstheme="minorHAnsi"/>
                <w:color w:val="auto"/>
                <w:sz w:val="22"/>
                <w:szCs w:val="22"/>
              </w:rPr>
            </w:pPr>
            <w:r w:rsidRPr="00400A16">
              <w:rPr>
                <w:rFonts w:asciiTheme="minorHAnsi" w:hAnsiTheme="minorHAnsi" w:cstheme="minorHAnsi"/>
                <w:color w:val="auto"/>
                <w:sz w:val="22"/>
                <w:szCs w:val="22"/>
              </w:rPr>
              <w:t>Recall reschedule reason</w:t>
            </w:r>
          </w:p>
        </w:tc>
        <w:tc>
          <w:tcPr>
            <w:tcW w:w="1725" w:type="pct"/>
          </w:tcPr>
          <w:p w14:paraId="252D0678" w14:textId="77777777" w:rsidR="00224C4F" w:rsidRPr="00224C4F" w:rsidRDefault="00224C4F" w:rsidP="00DC1C2F">
            <w:pPr>
              <w:kinsoku w:val="0"/>
              <w:overflowPunct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14:paraId="07E7244E" w14:textId="77777777" w:rsidR="00DC1C2F" w:rsidRPr="00DC1C2F" w:rsidRDefault="00DC1C2F" w:rsidP="00DC1C2F">
      <w:pPr>
        <w:rPr>
          <w:lang w:val="en-GB" w:eastAsia="en-GB"/>
        </w:rPr>
      </w:pPr>
    </w:p>
    <w:p w14:paraId="7497C07B" w14:textId="3C9EA799" w:rsidR="00DC1C2F" w:rsidRDefault="00DC1C2F">
      <w:pPr>
        <w:spacing w:after="160" w:line="259" w:lineRule="auto"/>
        <w:rPr>
          <w:rFonts w:asciiTheme="majorHAnsi" w:eastAsiaTheme="majorEastAsia" w:hAnsiTheme="majorHAnsi" w:cstheme="majorBidi"/>
          <w:color w:val="2F5496" w:themeColor="accent1" w:themeShade="BF"/>
          <w:sz w:val="26"/>
          <w:szCs w:val="26"/>
          <w:lang w:val="en-GB" w:eastAsia="en-GB"/>
        </w:rPr>
      </w:pPr>
      <w:r>
        <w:br w:type="page"/>
      </w:r>
    </w:p>
    <w:p w14:paraId="12621960" w14:textId="67A01A38" w:rsidR="008704FC" w:rsidRDefault="00E808EC" w:rsidP="00DD4F95">
      <w:pPr>
        <w:pStyle w:val="Heading2"/>
      </w:pPr>
      <w:r>
        <w:lastRenderedPageBreak/>
        <w:t xml:space="preserve">Appendix 2: </w:t>
      </w:r>
      <w:proofErr w:type="spellStart"/>
      <w:r w:rsidR="008704FC" w:rsidRPr="00DB3063">
        <w:rPr>
          <w:b/>
          <w:bCs/>
        </w:rPr>
        <w:t>Precall</w:t>
      </w:r>
      <w:proofErr w:type="spellEnd"/>
      <w:r w:rsidR="008704FC" w:rsidRPr="00DB3063">
        <w:rPr>
          <w:b/>
          <w:bCs/>
        </w:rPr>
        <w:t xml:space="preserve">/recall </w:t>
      </w:r>
      <w:r w:rsidRPr="00DB3063">
        <w:rPr>
          <w:b/>
          <w:bCs/>
        </w:rPr>
        <w:t>procedure</w:t>
      </w:r>
    </w:p>
    <w:p w14:paraId="7C1D941A" w14:textId="29EDC5F8" w:rsidR="008268B1" w:rsidRDefault="008268B1" w:rsidP="008268B1">
      <w:pPr>
        <w:rPr>
          <w:lang w:val="en-GB" w:eastAsia="en-GB"/>
        </w:rPr>
      </w:pPr>
    </w:p>
    <w:p w14:paraId="769B567A" w14:textId="03962BA2" w:rsidR="002C370D" w:rsidRPr="008268B1" w:rsidRDefault="002C370D" w:rsidP="002C370D">
      <w:pPr>
        <w:jc w:val="center"/>
        <w:rPr>
          <w:lang w:val="en-GB" w:eastAsia="en-GB"/>
        </w:rPr>
      </w:pPr>
      <w:r w:rsidRPr="002C370D">
        <w:rPr>
          <w:noProof/>
          <w:lang w:val="en-GB" w:eastAsia="en-GB"/>
        </w:rPr>
        <w:drawing>
          <wp:inline distT="0" distB="0" distL="0" distR="0" wp14:anchorId="33148639" wp14:editId="6A0E8D3B">
            <wp:extent cx="7063816" cy="4089400"/>
            <wp:effectExtent l="0" t="0" r="3810" b="6350"/>
            <wp:docPr id="1149225778" name="Picture 1" descr="A diagram of a pro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25778" name="Picture 1" descr="A diagram of a project&#10;&#10;Description automatically generated with medium confidence"/>
                    <pic:cNvPicPr/>
                  </pic:nvPicPr>
                  <pic:blipFill>
                    <a:blip r:embed="rId56"/>
                    <a:stretch>
                      <a:fillRect/>
                    </a:stretch>
                  </pic:blipFill>
                  <pic:spPr>
                    <a:xfrm>
                      <a:off x="0" y="0"/>
                      <a:ext cx="7071997" cy="4094136"/>
                    </a:xfrm>
                    <a:prstGeom prst="rect">
                      <a:avLst/>
                    </a:prstGeom>
                  </pic:spPr>
                </pic:pic>
              </a:graphicData>
            </a:graphic>
          </wp:inline>
        </w:drawing>
      </w:r>
    </w:p>
    <w:p w14:paraId="1BCA64AB" w14:textId="77777777" w:rsidR="008704FC" w:rsidRDefault="008704FC" w:rsidP="003B4434">
      <w:pPr>
        <w:ind w:firstLine="1134"/>
      </w:pPr>
    </w:p>
    <w:p w14:paraId="34EB7EE1" w14:textId="77777777" w:rsidR="00A66679" w:rsidRDefault="00A66679" w:rsidP="003B4434">
      <w:pPr>
        <w:ind w:firstLine="1134"/>
      </w:pPr>
    </w:p>
    <w:p w14:paraId="1C8E83DC" w14:textId="085553ED" w:rsidR="00A66679" w:rsidRDefault="00A66679" w:rsidP="003B4434">
      <w:pPr>
        <w:ind w:firstLine="1134"/>
        <w:sectPr w:rsidR="00A66679" w:rsidSect="008704FC">
          <w:pgSz w:w="11906" w:h="16838"/>
          <w:pgMar w:top="720" w:right="720" w:bottom="720" w:left="720" w:header="709" w:footer="709" w:gutter="0"/>
          <w:cols w:space="708"/>
          <w:docGrid w:linePitch="360"/>
        </w:sectPr>
      </w:pPr>
      <w:r>
        <w:rPr>
          <w:noProof/>
        </w:rPr>
        <mc:AlternateContent>
          <mc:Choice Requires="wps">
            <w:drawing>
              <wp:anchor distT="45720" distB="45720" distL="114300" distR="114300" simplePos="0" relativeHeight="251658240" behindDoc="0" locked="0" layoutInCell="1" allowOverlap="1" wp14:anchorId="4C8172F4" wp14:editId="1D23DBE6">
                <wp:simplePos x="0" y="0"/>
                <wp:positionH relativeFrom="margin">
                  <wp:posOffset>0</wp:posOffset>
                </wp:positionH>
                <wp:positionV relativeFrom="page">
                  <wp:posOffset>5598795</wp:posOffset>
                </wp:positionV>
                <wp:extent cx="5372100" cy="120777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07770"/>
                        </a:xfrm>
                        <a:prstGeom prst="rect">
                          <a:avLst/>
                        </a:prstGeom>
                        <a:solidFill>
                          <a:srgbClr val="FFFFFF"/>
                        </a:solidFill>
                        <a:ln w="9525">
                          <a:noFill/>
                          <a:miter lim="800000"/>
                          <a:headEnd/>
                          <a:tailEnd/>
                        </a:ln>
                      </wps:spPr>
                      <wps:txbx>
                        <w:txbxContent>
                          <w:p w14:paraId="4FA218E3" w14:textId="15995355" w:rsidR="00A66679" w:rsidRDefault="00A66679" w:rsidP="00A66679">
                            <w:r>
                              <w:t xml:space="preserve">Source: </w:t>
                            </w:r>
                            <w:hyperlink r:id="rId57" w:history="1">
                              <w:r w:rsidRPr="00B5498D">
                                <w:rPr>
                                  <w:rStyle w:val="Hyperlink"/>
                                </w:rPr>
                                <w:t>Essentials for Effective Immunisation in Primary Health Care. Third Edition, 2017</w:t>
                              </w:r>
                            </w:hyperlink>
                          </w:p>
                          <w:p w14:paraId="18A18AC5" w14:textId="6B854FA9" w:rsidR="00A66679" w:rsidRDefault="00A66679" w:rsidP="00A666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172F4" id="_x0000_t202" coordsize="21600,21600" o:spt="202" path="m,l,21600r21600,l21600,xe">
                <v:stroke joinstyle="miter"/>
                <v:path gradientshapeok="t" o:connecttype="rect"/>
              </v:shapetype>
              <v:shape id="Text Box 2" o:spid="_x0000_s1026" type="#_x0000_t202" style="position:absolute;left:0;text-align:left;margin-left:0;margin-top:440.85pt;width:423pt;height:95.1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" stroked="f">
                <v:textbox style="mso-fit-shape-to-text:t">
                  <w:txbxContent>
                    <w:p w14:paraId="4FA218E3" w14:textId="15995355" w:rsidR="00A66679" w:rsidRDefault="00A66679" w:rsidP="00A66679">
                      <w:r>
                        <w:t xml:space="preserve">Source: </w:t>
                      </w:r>
                      <w:hyperlink r:id="rId58" w:history="1">
                        <w:r w:rsidRPr="00B5498D">
                          <w:rPr>
                            <w:rStyle w:val="Hyperlink"/>
                          </w:rPr>
                          <w:t>Essentials for Effective Immunisation in Primary Health Care. Third Edition, 2017</w:t>
                        </w:r>
                      </w:hyperlink>
                    </w:p>
                    <w:p w14:paraId="18A18AC5" w14:textId="6B854FA9" w:rsidR="00A66679" w:rsidRDefault="00A66679" w:rsidP="00A66679"/>
                  </w:txbxContent>
                </v:textbox>
                <w10:wrap anchorx="margin" anchory="page"/>
              </v:shape>
            </w:pict>
          </mc:Fallback>
        </mc:AlternateContent>
      </w:r>
    </w:p>
    <w:p w14:paraId="571C07B3" w14:textId="1EEBCCDC" w:rsidR="00CC65C5" w:rsidRDefault="008704FC" w:rsidP="00DD4F95">
      <w:pPr>
        <w:pStyle w:val="Heading2"/>
      </w:pPr>
      <w:r>
        <w:lastRenderedPageBreak/>
        <w:t xml:space="preserve">Appendix </w:t>
      </w:r>
      <w:r w:rsidR="00E808EC">
        <w:t>3</w:t>
      </w:r>
      <w:r>
        <w:t xml:space="preserve">: </w:t>
      </w:r>
      <w:r w:rsidR="00DD4F95">
        <w:t xml:space="preserve">Suggested </w:t>
      </w:r>
      <w:proofErr w:type="spellStart"/>
      <w:r>
        <w:t>precall</w:t>
      </w:r>
      <w:proofErr w:type="spellEnd"/>
      <w:r w:rsidR="0088436A">
        <w:t xml:space="preserve"> </w:t>
      </w:r>
      <w:r>
        <w:t>/</w:t>
      </w:r>
      <w:r w:rsidR="00DD4F95">
        <w:t>r</w:t>
      </w:r>
      <w:r w:rsidR="00CC65C5">
        <w:t xml:space="preserve">ecall </w:t>
      </w:r>
      <w:r w:rsidR="00875DE8">
        <w:t>schedule</w:t>
      </w:r>
      <w:r>
        <w:t xml:space="preserve"> for child immunisations</w:t>
      </w:r>
    </w:p>
    <w:p w14:paraId="713449FD" w14:textId="77777777" w:rsidR="00CE7179" w:rsidRPr="00CE7179" w:rsidRDefault="00CE7179" w:rsidP="00CE7179">
      <w:pPr>
        <w:rPr>
          <w:lang w:val="en-GB" w:eastAsia="en-GB"/>
        </w:rPr>
      </w:pPr>
    </w:p>
    <w:p w14:paraId="2BCA8BA2" w14:textId="71660B23" w:rsidR="00CC65C5" w:rsidRDefault="002C370D" w:rsidP="002C370D">
      <w:pPr>
        <w:jc w:val="center"/>
      </w:pPr>
      <w:r w:rsidRPr="002C370D">
        <w:rPr>
          <w:noProof/>
        </w:rPr>
        <w:drawing>
          <wp:inline distT="0" distB="0" distL="0" distR="0" wp14:anchorId="72C63752" wp14:editId="17D36EA2">
            <wp:extent cx="9094329" cy="5441950"/>
            <wp:effectExtent l="0" t="0" r="0" b="6350"/>
            <wp:docPr id="628528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28343" name=""/>
                    <pic:cNvPicPr/>
                  </pic:nvPicPr>
                  <pic:blipFill>
                    <a:blip r:embed="rId59"/>
                    <a:stretch>
                      <a:fillRect/>
                    </a:stretch>
                  </pic:blipFill>
                  <pic:spPr>
                    <a:xfrm>
                      <a:off x="0" y="0"/>
                      <a:ext cx="9098627" cy="5444522"/>
                    </a:xfrm>
                    <a:prstGeom prst="rect">
                      <a:avLst/>
                    </a:prstGeom>
                  </pic:spPr>
                </pic:pic>
              </a:graphicData>
            </a:graphic>
          </wp:inline>
        </w:drawing>
      </w:r>
    </w:p>
    <w:sectPr w:rsidR="00CC65C5" w:rsidSect="008704F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FC0C" w14:textId="77777777" w:rsidR="00D9053D" w:rsidRDefault="00D9053D" w:rsidP="00790C38">
      <w:pPr>
        <w:spacing w:after="0" w:line="240" w:lineRule="auto"/>
      </w:pPr>
      <w:r>
        <w:separator/>
      </w:r>
    </w:p>
  </w:endnote>
  <w:endnote w:type="continuationSeparator" w:id="0">
    <w:p w14:paraId="18EC3FC2" w14:textId="77777777" w:rsidR="00D9053D" w:rsidRDefault="00D9053D" w:rsidP="00790C38">
      <w:pPr>
        <w:spacing w:after="0" w:line="240" w:lineRule="auto"/>
      </w:pPr>
      <w:r>
        <w:continuationSeparator/>
      </w:r>
    </w:p>
  </w:endnote>
  <w:endnote w:type="continuationNotice" w:id="1">
    <w:p w14:paraId="2AC19D1F" w14:textId="77777777" w:rsidR="00C4142E" w:rsidRDefault="00C41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B4E0" w14:textId="77777777" w:rsidR="00A6321E" w:rsidRDefault="000F1EE9">
    <w:pPr>
      <w:pStyle w:val="Footer"/>
    </w:pPr>
    <w:r>
      <w:t xml:space="preserve">Immunisation Policy &amp; Procedure </w:t>
    </w:r>
    <w:r>
      <w:tab/>
    </w:r>
    <w:r>
      <w:tab/>
    </w:r>
  </w:p>
  <w:p w14:paraId="15B6DE81" w14:textId="03E939ED" w:rsidR="000F1EE9" w:rsidRDefault="00A6321E">
    <w:pPr>
      <w:pStyle w:val="Footer"/>
    </w:pPr>
    <w:r>
      <w:t>J</w:t>
    </w:r>
    <w:r w:rsidR="00DD4AD7">
      <w:t>uly</w:t>
    </w:r>
    <w:r>
      <w:t xml:space="preserve"> 202</w:t>
    </w:r>
    <w:r w:rsidR="00DD4AD7">
      <w:t>4</w:t>
    </w:r>
  </w:p>
  <w:p w14:paraId="5444AE51" w14:textId="0835DEF4" w:rsidR="000F1EE9" w:rsidRDefault="000F1EE9">
    <w:pPr>
      <w:pStyle w:val="Footer"/>
    </w:pPr>
    <w:r>
      <w:t xml:space="preserve">Page </w:t>
    </w:r>
    <w:r>
      <w:fldChar w:fldCharType="begin"/>
    </w:r>
    <w:r>
      <w:instrText xml:space="preserve"> PAGE  \* Arabic  \* MERGEFORMAT </w:instrText>
    </w:r>
    <w:r>
      <w:fldChar w:fldCharType="separate"/>
    </w:r>
    <w:r>
      <w:rPr>
        <w:noProof/>
      </w:rPr>
      <w:t>1</w:t>
    </w:r>
    <w:r>
      <w:fldChar w:fldCharType="end"/>
    </w:r>
    <w:r>
      <w:t xml:space="preserve"> of </w:t>
    </w:r>
    <w:r w:rsidR="00B5498D">
      <w:fldChar w:fldCharType="begin"/>
    </w:r>
    <w:r w:rsidR="00B5498D">
      <w:instrText xml:space="preserve"> NUMPAGES  \* Arabic  \* MERGEFORMAT </w:instrText>
    </w:r>
    <w:r w:rsidR="00B5498D">
      <w:fldChar w:fldCharType="separate"/>
    </w:r>
    <w:r>
      <w:rPr>
        <w:noProof/>
      </w:rPr>
      <w:t>10</w:t>
    </w:r>
    <w:r w:rsidR="00B5498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9E135" w14:textId="0EABE6DC" w:rsidR="00A6321E" w:rsidRDefault="00A6321E" w:rsidP="00A6321E">
    <w:pPr>
      <w:pStyle w:val="Footer"/>
    </w:pPr>
    <w:bookmarkStart w:id="2" w:name="_Hlk126828430"/>
    <w:r>
      <w:t xml:space="preserve">Immunisation Policy &amp; Procedure </w:t>
    </w:r>
    <w:r>
      <w:tab/>
    </w:r>
    <w:r>
      <w:tab/>
    </w:r>
  </w:p>
  <w:p w14:paraId="7F816EB0" w14:textId="314BB271" w:rsidR="00A6321E" w:rsidRDefault="00B03987" w:rsidP="00A6321E">
    <w:pPr>
      <w:pStyle w:val="Footer"/>
    </w:pPr>
    <w:r>
      <w:t>Ju</w:t>
    </w:r>
    <w:r w:rsidR="00DD4AD7">
      <w:t>ly</w:t>
    </w:r>
    <w:r w:rsidR="00A6321E">
      <w:t xml:space="preserve"> 202</w:t>
    </w:r>
    <w:r>
      <w:t>4</w:t>
    </w:r>
  </w:p>
  <w:bookmarkEnd w:id="2"/>
  <w:p w14:paraId="204D3877" w14:textId="4D1F4A18" w:rsidR="00A6321E" w:rsidRDefault="00A6321E">
    <w:pPr>
      <w:pStyle w:val="Footer"/>
    </w:pPr>
    <w:r>
      <w:t xml:space="preserve">Page </w:t>
    </w:r>
    <w:r>
      <w:fldChar w:fldCharType="begin"/>
    </w:r>
    <w:r>
      <w:instrText xml:space="preserve"> PAGE  \* Arabic  \* MERGEFORMAT </w:instrText>
    </w:r>
    <w:r>
      <w:fldChar w:fldCharType="separate"/>
    </w:r>
    <w:r>
      <w:t>2</w:t>
    </w:r>
    <w:r>
      <w:fldChar w:fldCharType="end"/>
    </w:r>
    <w:r>
      <w:t xml:space="preserve"> of </w:t>
    </w:r>
    <w:r w:rsidR="00B5498D">
      <w:fldChar w:fldCharType="begin"/>
    </w:r>
    <w:r w:rsidR="00B5498D">
      <w:instrText xml:space="preserve"> NUMPAGES  \* Arabic  \* MERGEFORMAT </w:instrText>
    </w:r>
    <w:r w:rsidR="00B5498D">
      <w:fldChar w:fldCharType="separate"/>
    </w:r>
    <w:r>
      <w:t>11</w:t>
    </w:r>
    <w:r w:rsidR="00B5498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83013" w14:textId="77777777" w:rsidR="00D9053D" w:rsidRDefault="00D9053D" w:rsidP="00790C38">
      <w:pPr>
        <w:spacing w:after="0" w:line="240" w:lineRule="auto"/>
      </w:pPr>
      <w:r>
        <w:separator/>
      </w:r>
    </w:p>
  </w:footnote>
  <w:footnote w:type="continuationSeparator" w:id="0">
    <w:p w14:paraId="4F28752D" w14:textId="77777777" w:rsidR="00D9053D" w:rsidRDefault="00D9053D" w:rsidP="00790C38">
      <w:pPr>
        <w:spacing w:after="0" w:line="240" w:lineRule="auto"/>
      </w:pPr>
      <w:r>
        <w:continuationSeparator/>
      </w:r>
    </w:p>
  </w:footnote>
  <w:footnote w:type="continuationNotice" w:id="1">
    <w:p w14:paraId="2D95EDB1" w14:textId="77777777" w:rsidR="00C4142E" w:rsidRDefault="00C41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FE76B" w14:textId="77777777" w:rsidR="000F1EE9" w:rsidRPr="004967A1" w:rsidRDefault="000F1EE9" w:rsidP="000F1EE9">
    <w:pPr>
      <w:pStyle w:val="Heading2"/>
      <w:rPr>
        <w:rFonts w:ascii="Calibri" w:hAnsi="Calibri"/>
        <w:sz w:val="28"/>
        <w:szCs w:val="28"/>
      </w:rPr>
    </w:pPr>
    <w:r>
      <w:rPr>
        <w:rFonts w:ascii="Calibri" w:hAnsi="Calibri" w:cs="Arial"/>
        <w:noProof/>
        <w:color w:val="2F5496"/>
        <w:sz w:val="28"/>
        <w:szCs w:val="28"/>
        <w:lang w:val="en-NZ" w:eastAsia="en-NZ"/>
      </w:rPr>
      <w:drawing>
        <wp:anchor distT="0" distB="0" distL="114300" distR="114300" simplePos="0" relativeHeight="251658240" behindDoc="0" locked="0" layoutInCell="1" allowOverlap="1" wp14:anchorId="4BF5EE13" wp14:editId="1E89F4A2">
          <wp:simplePos x="0" y="0"/>
          <wp:positionH relativeFrom="margin">
            <wp:posOffset>5578475</wp:posOffset>
          </wp:positionH>
          <wp:positionV relativeFrom="margin">
            <wp:posOffset>-671369</wp:posOffset>
          </wp:positionV>
          <wp:extent cx="1048385" cy="490220"/>
          <wp:effectExtent l="0" t="0" r="0" b="508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4838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7A1">
      <w:rPr>
        <w:rFonts w:ascii="Calibri" w:hAnsi="Calibri"/>
        <w:sz w:val="28"/>
        <w:szCs w:val="28"/>
      </w:rPr>
      <w:t>&lt;Practice&gt;</w:t>
    </w:r>
  </w:p>
  <w:p w14:paraId="69ADCF48" w14:textId="77777777" w:rsidR="000F1EE9" w:rsidRPr="000F1EE9" w:rsidRDefault="000F1EE9" w:rsidP="000F1EE9">
    <w:pPr>
      <w:pStyle w:val="Heading2"/>
      <w:rPr>
        <w:rFonts w:ascii="Calibri" w:hAnsi="Calibri"/>
        <w:color w:val="2F5496"/>
        <w:sz w:val="28"/>
        <w:szCs w:val="28"/>
      </w:rPr>
    </w:pPr>
    <w:r>
      <w:rPr>
        <w:rFonts w:ascii="Calibri" w:hAnsi="Calibri"/>
        <w:color w:val="2F5496"/>
        <w:sz w:val="28"/>
        <w:szCs w:val="28"/>
      </w:rPr>
      <w:t>Immunisation</w:t>
    </w:r>
    <w:r w:rsidRPr="004967A1">
      <w:rPr>
        <w:rFonts w:ascii="Calibri" w:hAnsi="Calibri"/>
        <w:color w:val="2F5496"/>
        <w:sz w:val="28"/>
        <w:szCs w:val="28"/>
      </w:rPr>
      <w:t xml:space="preserve"> Policy</w:t>
    </w:r>
    <w:r>
      <w:rPr>
        <w:rFonts w:ascii="Calibri" w:hAnsi="Calibri"/>
        <w:color w:val="2F5496"/>
        <w:sz w:val="28"/>
        <w:szCs w:val="28"/>
      </w:rPr>
      <w:t xml:space="preserve"> &amp; Procedure</w:t>
    </w:r>
  </w:p>
  <w:p w14:paraId="5B345720" w14:textId="77777777" w:rsidR="000F1EE9" w:rsidRDefault="000F1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5AA3B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numFmt w:val="bullet"/>
      <w:lvlText w:val=""/>
      <w:lvlJc w:val="left"/>
      <w:pPr>
        <w:ind w:left="482" w:hanging="426"/>
      </w:pPr>
      <w:rPr>
        <w:rFonts w:ascii="Symbol" w:hAnsi="Symbol" w:cs="Symbol"/>
        <w:b w:val="0"/>
        <w:bCs w:val="0"/>
        <w:i w:val="0"/>
        <w:iCs w:val="0"/>
        <w:w w:val="100"/>
        <w:sz w:val="23"/>
        <w:szCs w:val="23"/>
      </w:rPr>
    </w:lvl>
    <w:lvl w:ilvl="1">
      <w:numFmt w:val="bullet"/>
      <w:lvlText w:val="•"/>
      <w:lvlJc w:val="left"/>
      <w:pPr>
        <w:ind w:left="1098" w:hanging="426"/>
      </w:pPr>
    </w:lvl>
    <w:lvl w:ilvl="2">
      <w:numFmt w:val="bullet"/>
      <w:lvlText w:val="•"/>
      <w:lvlJc w:val="left"/>
      <w:pPr>
        <w:ind w:left="1717" w:hanging="426"/>
      </w:pPr>
    </w:lvl>
    <w:lvl w:ilvl="3">
      <w:numFmt w:val="bullet"/>
      <w:lvlText w:val="•"/>
      <w:lvlJc w:val="left"/>
      <w:pPr>
        <w:ind w:left="2336" w:hanging="426"/>
      </w:pPr>
    </w:lvl>
    <w:lvl w:ilvl="4">
      <w:numFmt w:val="bullet"/>
      <w:lvlText w:val="•"/>
      <w:lvlJc w:val="left"/>
      <w:pPr>
        <w:ind w:left="2955" w:hanging="426"/>
      </w:pPr>
    </w:lvl>
    <w:lvl w:ilvl="5">
      <w:numFmt w:val="bullet"/>
      <w:lvlText w:val="•"/>
      <w:lvlJc w:val="left"/>
      <w:pPr>
        <w:ind w:left="3574" w:hanging="426"/>
      </w:pPr>
    </w:lvl>
    <w:lvl w:ilvl="6">
      <w:numFmt w:val="bullet"/>
      <w:lvlText w:val="•"/>
      <w:lvlJc w:val="left"/>
      <w:pPr>
        <w:ind w:left="4192" w:hanging="426"/>
      </w:pPr>
    </w:lvl>
    <w:lvl w:ilvl="7">
      <w:numFmt w:val="bullet"/>
      <w:lvlText w:val="•"/>
      <w:lvlJc w:val="left"/>
      <w:pPr>
        <w:ind w:left="4811" w:hanging="426"/>
      </w:pPr>
    </w:lvl>
    <w:lvl w:ilvl="8">
      <w:numFmt w:val="bullet"/>
      <w:lvlText w:val="•"/>
      <w:lvlJc w:val="left"/>
      <w:pPr>
        <w:ind w:left="5430" w:hanging="426"/>
      </w:pPr>
    </w:lvl>
  </w:abstractNum>
  <w:abstractNum w:abstractNumId="2" w15:restartNumberingAfterBreak="0">
    <w:nsid w:val="00000403"/>
    <w:multiLevelType w:val="multilevel"/>
    <w:tmpl w:val="FFFFFFFF"/>
    <w:lvl w:ilvl="0">
      <w:numFmt w:val="bullet"/>
      <w:lvlText w:val=""/>
      <w:lvlJc w:val="left"/>
      <w:pPr>
        <w:ind w:left="482" w:hanging="426"/>
      </w:pPr>
      <w:rPr>
        <w:rFonts w:ascii="Symbol" w:hAnsi="Symbol" w:cs="Symbol"/>
        <w:b w:val="0"/>
        <w:bCs w:val="0"/>
        <w:i w:val="0"/>
        <w:iCs w:val="0"/>
        <w:w w:val="100"/>
        <w:sz w:val="23"/>
        <w:szCs w:val="23"/>
      </w:rPr>
    </w:lvl>
    <w:lvl w:ilvl="1">
      <w:numFmt w:val="bullet"/>
      <w:lvlText w:val="•"/>
      <w:lvlJc w:val="left"/>
      <w:pPr>
        <w:ind w:left="1098" w:hanging="426"/>
      </w:pPr>
    </w:lvl>
    <w:lvl w:ilvl="2">
      <w:numFmt w:val="bullet"/>
      <w:lvlText w:val="•"/>
      <w:lvlJc w:val="left"/>
      <w:pPr>
        <w:ind w:left="1717" w:hanging="426"/>
      </w:pPr>
    </w:lvl>
    <w:lvl w:ilvl="3">
      <w:numFmt w:val="bullet"/>
      <w:lvlText w:val="•"/>
      <w:lvlJc w:val="left"/>
      <w:pPr>
        <w:ind w:left="2336" w:hanging="426"/>
      </w:pPr>
    </w:lvl>
    <w:lvl w:ilvl="4">
      <w:numFmt w:val="bullet"/>
      <w:lvlText w:val="•"/>
      <w:lvlJc w:val="left"/>
      <w:pPr>
        <w:ind w:left="2955" w:hanging="426"/>
      </w:pPr>
    </w:lvl>
    <w:lvl w:ilvl="5">
      <w:numFmt w:val="bullet"/>
      <w:lvlText w:val="•"/>
      <w:lvlJc w:val="left"/>
      <w:pPr>
        <w:ind w:left="3574" w:hanging="426"/>
      </w:pPr>
    </w:lvl>
    <w:lvl w:ilvl="6">
      <w:numFmt w:val="bullet"/>
      <w:lvlText w:val="•"/>
      <w:lvlJc w:val="left"/>
      <w:pPr>
        <w:ind w:left="4192" w:hanging="426"/>
      </w:pPr>
    </w:lvl>
    <w:lvl w:ilvl="7">
      <w:numFmt w:val="bullet"/>
      <w:lvlText w:val="•"/>
      <w:lvlJc w:val="left"/>
      <w:pPr>
        <w:ind w:left="4811" w:hanging="426"/>
      </w:pPr>
    </w:lvl>
    <w:lvl w:ilvl="8">
      <w:numFmt w:val="bullet"/>
      <w:lvlText w:val="•"/>
      <w:lvlJc w:val="left"/>
      <w:pPr>
        <w:ind w:left="5430" w:hanging="426"/>
      </w:pPr>
    </w:lvl>
  </w:abstractNum>
  <w:abstractNum w:abstractNumId="3" w15:restartNumberingAfterBreak="0">
    <w:nsid w:val="00000404"/>
    <w:multiLevelType w:val="multilevel"/>
    <w:tmpl w:val="FFFFFFFF"/>
    <w:lvl w:ilvl="0">
      <w:numFmt w:val="bullet"/>
      <w:lvlText w:val=""/>
      <w:lvlJc w:val="left"/>
      <w:pPr>
        <w:ind w:left="482" w:hanging="426"/>
      </w:pPr>
      <w:rPr>
        <w:rFonts w:ascii="Symbol" w:hAnsi="Symbol" w:cs="Symbol"/>
        <w:b w:val="0"/>
        <w:bCs w:val="0"/>
        <w:i w:val="0"/>
        <w:iCs w:val="0"/>
        <w:w w:val="100"/>
        <w:sz w:val="23"/>
        <w:szCs w:val="23"/>
      </w:rPr>
    </w:lvl>
    <w:lvl w:ilvl="1">
      <w:numFmt w:val="bullet"/>
      <w:lvlText w:val="•"/>
      <w:lvlJc w:val="left"/>
      <w:pPr>
        <w:ind w:left="1098" w:hanging="426"/>
      </w:pPr>
    </w:lvl>
    <w:lvl w:ilvl="2">
      <w:numFmt w:val="bullet"/>
      <w:lvlText w:val="•"/>
      <w:lvlJc w:val="left"/>
      <w:pPr>
        <w:ind w:left="1717" w:hanging="426"/>
      </w:pPr>
    </w:lvl>
    <w:lvl w:ilvl="3">
      <w:numFmt w:val="bullet"/>
      <w:lvlText w:val="•"/>
      <w:lvlJc w:val="left"/>
      <w:pPr>
        <w:ind w:left="2336" w:hanging="426"/>
      </w:pPr>
    </w:lvl>
    <w:lvl w:ilvl="4">
      <w:numFmt w:val="bullet"/>
      <w:lvlText w:val="•"/>
      <w:lvlJc w:val="left"/>
      <w:pPr>
        <w:ind w:left="2955" w:hanging="426"/>
      </w:pPr>
    </w:lvl>
    <w:lvl w:ilvl="5">
      <w:numFmt w:val="bullet"/>
      <w:lvlText w:val="•"/>
      <w:lvlJc w:val="left"/>
      <w:pPr>
        <w:ind w:left="3574" w:hanging="426"/>
      </w:pPr>
    </w:lvl>
    <w:lvl w:ilvl="6">
      <w:numFmt w:val="bullet"/>
      <w:lvlText w:val="•"/>
      <w:lvlJc w:val="left"/>
      <w:pPr>
        <w:ind w:left="4192" w:hanging="426"/>
      </w:pPr>
    </w:lvl>
    <w:lvl w:ilvl="7">
      <w:numFmt w:val="bullet"/>
      <w:lvlText w:val="•"/>
      <w:lvlJc w:val="left"/>
      <w:pPr>
        <w:ind w:left="4811" w:hanging="426"/>
      </w:pPr>
    </w:lvl>
    <w:lvl w:ilvl="8">
      <w:numFmt w:val="bullet"/>
      <w:lvlText w:val="•"/>
      <w:lvlJc w:val="left"/>
      <w:pPr>
        <w:ind w:left="5430" w:hanging="426"/>
      </w:pPr>
    </w:lvl>
  </w:abstractNum>
  <w:abstractNum w:abstractNumId="4" w15:restartNumberingAfterBreak="0">
    <w:nsid w:val="00000405"/>
    <w:multiLevelType w:val="multilevel"/>
    <w:tmpl w:val="FFFFFFFF"/>
    <w:lvl w:ilvl="0">
      <w:numFmt w:val="bullet"/>
      <w:lvlText w:val=""/>
      <w:lvlJc w:val="left"/>
      <w:pPr>
        <w:ind w:left="482" w:hanging="426"/>
      </w:pPr>
      <w:rPr>
        <w:rFonts w:ascii="Symbol" w:hAnsi="Symbol" w:cs="Symbol"/>
        <w:b w:val="0"/>
        <w:bCs w:val="0"/>
        <w:i w:val="0"/>
        <w:iCs w:val="0"/>
        <w:w w:val="100"/>
        <w:sz w:val="23"/>
        <w:szCs w:val="23"/>
      </w:rPr>
    </w:lvl>
    <w:lvl w:ilvl="1">
      <w:numFmt w:val="bullet"/>
      <w:lvlText w:val="•"/>
      <w:lvlJc w:val="left"/>
      <w:pPr>
        <w:ind w:left="1098" w:hanging="426"/>
      </w:pPr>
    </w:lvl>
    <w:lvl w:ilvl="2">
      <w:numFmt w:val="bullet"/>
      <w:lvlText w:val="•"/>
      <w:lvlJc w:val="left"/>
      <w:pPr>
        <w:ind w:left="1717" w:hanging="426"/>
      </w:pPr>
    </w:lvl>
    <w:lvl w:ilvl="3">
      <w:numFmt w:val="bullet"/>
      <w:lvlText w:val="•"/>
      <w:lvlJc w:val="left"/>
      <w:pPr>
        <w:ind w:left="2336" w:hanging="426"/>
      </w:pPr>
    </w:lvl>
    <w:lvl w:ilvl="4">
      <w:numFmt w:val="bullet"/>
      <w:lvlText w:val="•"/>
      <w:lvlJc w:val="left"/>
      <w:pPr>
        <w:ind w:left="2955" w:hanging="426"/>
      </w:pPr>
    </w:lvl>
    <w:lvl w:ilvl="5">
      <w:numFmt w:val="bullet"/>
      <w:lvlText w:val="•"/>
      <w:lvlJc w:val="left"/>
      <w:pPr>
        <w:ind w:left="3574" w:hanging="426"/>
      </w:pPr>
    </w:lvl>
    <w:lvl w:ilvl="6">
      <w:numFmt w:val="bullet"/>
      <w:lvlText w:val="•"/>
      <w:lvlJc w:val="left"/>
      <w:pPr>
        <w:ind w:left="4192" w:hanging="426"/>
      </w:pPr>
    </w:lvl>
    <w:lvl w:ilvl="7">
      <w:numFmt w:val="bullet"/>
      <w:lvlText w:val="•"/>
      <w:lvlJc w:val="left"/>
      <w:pPr>
        <w:ind w:left="4811" w:hanging="426"/>
      </w:pPr>
    </w:lvl>
    <w:lvl w:ilvl="8">
      <w:numFmt w:val="bullet"/>
      <w:lvlText w:val="•"/>
      <w:lvlJc w:val="left"/>
      <w:pPr>
        <w:ind w:left="5430" w:hanging="426"/>
      </w:pPr>
    </w:lvl>
  </w:abstractNum>
  <w:abstractNum w:abstractNumId="5" w15:restartNumberingAfterBreak="0">
    <w:nsid w:val="00000406"/>
    <w:multiLevelType w:val="multilevel"/>
    <w:tmpl w:val="FFFFFFFF"/>
    <w:lvl w:ilvl="0">
      <w:numFmt w:val="bullet"/>
      <w:lvlText w:val=""/>
      <w:lvlJc w:val="left"/>
      <w:pPr>
        <w:ind w:left="482" w:hanging="426"/>
      </w:pPr>
      <w:rPr>
        <w:rFonts w:ascii="Symbol" w:hAnsi="Symbol" w:cs="Symbol"/>
        <w:b w:val="0"/>
        <w:bCs w:val="0"/>
        <w:i w:val="0"/>
        <w:iCs w:val="0"/>
        <w:w w:val="100"/>
        <w:sz w:val="23"/>
        <w:szCs w:val="23"/>
      </w:rPr>
    </w:lvl>
    <w:lvl w:ilvl="1">
      <w:numFmt w:val="bullet"/>
      <w:lvlText w:val="•"/>
      <w:lvlJc w:val="left"/>
      <w:pPr>
        <w:ind w:left="1098" w:hanging="426"/>
      </w:pPr>
    </w:lvl>
    <w:lvl w:ilvl="2">
      <w:numFmt w:val="bullet"/>
      <w:lvlText w:val="•"/>
      <w:lvlJc w:val="left"/>
      <w:pPr>
        <w:ind w:left="1717" w:hanging="426"/>
      </w:pPr>
    </w:lvl>
    <w:lvl w:ilvl="3">
      <w:numFmt w:val="bullet"/>
      <w:lvlText w:val="•"/>
      <w:lvlJc w:val="left"/>
      <w:pPr>
        <w:ind w:left="2336" w:hanging="426"/>
      </w:pPr>
    </w:lvl>
    <w:lvl w:ilvl="4">
      <w:numFmt w:val="bullet"/>
      <w:lvlText w:val="•"/>
      <w:lvlJc w:val="left"/>
      <w:pPr>
        <w:ind w:left="2955" w:hanging="426"/>
      </w:pPr>
    </w:lvl>
    <w:lvl w:ilvl="5">
      <w:numFmt w:val="bullet"/>
      <w:lvlText w:val="•"/>
      <w:lvlJc w:val="left"/>
      <w:pPr>
        <w:ind w:left="3574" w:hanging="426"/>
      </w:pPr>
    </w:lvl>
    <w:lvl w:ilvl="6">
      <w:numFmt w:val="bullet"/>
      <w:lvlText w:val="•"/>
      <w:lvlJc w:val="left"/>
      <w:pPr>
        <w:ind w:left="4192" w:hanging="426"/>
      </w:pPr>
    </w:lvl>
    <w:lvl w:ilvl="7">
      <w:numFmt w:val="bullet"/>
      <w:lvlText w:val="•"/>
      <w:lvlJc w:val="left"/>
      <w:pPr>
        <w:ind w:left="4811" w:hanging="426"/>
      </w:pPr>
    </w:lvl>
    <w:lvl w:ilvl="8">
      <w:numFmt w:val="bullet"/>
      <w:lvlText w:val="•"/>
      <w:lvlJc w:val="left"/>
      <w:pPr>
        <w:ind w:left="5430" w:hanging="426"/>
      </w:pPr>
    </w:lvl>
  </w:abstractNum>
  <w:abstractNum w:abstractNumId="6" w15:restartNumberingAfterBreak="0">
    <w:nsid w:val="03993570"/>
    <w:multiLevelType w:val="hybridMultilevel"/>
    <w:tmpl w:val="99F24C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A34D24"/>
    <w:multiLevelType w:val="multilevel"/>
    <w:tmpl w:val="17D6B3C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167AA"/>
    <w:multiLevelType w:val="multilevel"/>
    <w:tmpl w:val="7278B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7728F"/>
    <w:multiLevelType w:val="hybridMultilevel"/>
    <w:tmpl w:val="5B147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4E21F6"/>
    <w:multiLevelType w:val="hybridMultilevel"/>
    <w:tmpl w:val="17D00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8948E6"/>
    <w:multiLevelType w:val="hybridMultilevel"/>
    <w:tmpl w:val="258CB72E"/>
    <w:lvl w:ilvl="0" w:tplc="14090001">
      <w:start w:val="1"/>
      <w:numFmt w:val="bullet"/>
      <w:lvlText w:val=""/>
      <w:lvlJc w:val="left"/>
      <w:pPr>
        <w:ind w:left="360" w:hanging="360"/>
      </w:pPr>
      <w:rPr>
        <w:rFonts w:ascii="Symbol" w:hAnsi="Symbol" w:hint="default"/>
      </w:rPr>
    </w:lvl>
    <w:lvl w:ilvl="1" w:tplc="FE0012E8">
      <w:numFmt w:val="bullet"/>
      <w:lvlText w:val="–"/>
      <w:lvlJc w:val="left"/>
      <w:pPr>
        <w:ind w:left="1080" w:hanging="360"/>
      </w:pPr>
      <w:rPr>
        <w:rFonts w:ascii="Calibri" w:eastAsiaTheme="minorHAnsi" w:hAnsi="Calibri" w:cs="Calibr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7793F1C"/>
    <w:multiLevelType w:val="hybridMultilevel"/>
    <w:tmpl w:val="8FB6D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9D1E98"/>
    <w:multiLevelType w:val="multilevel"/>
    <w:tmpl w:val="CA6284B2"/>
    <w:lvl w:ilvl="0">
      <w:start w:val="1"/>
      <w:numFmt w:val="bullet"/>
      <w:lvlText w:val=""/>
      <w:lvlJc w:val="left"/>
      <w:pPr>
        <w:tabs>
          <w:tab w:val="num" w:pos="0"/>
        </w:tabs>
        <w:ind w:left="0" w:hanging="360"/>
      </w:pPr>
      <w:rPr>
        <w:rFonts w:ascii="Symbol" w:hAnsi="Symbol" w:hint="default"/>
        <w:color w:val="000000" w:themeColor="text1"/>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1C79744A"/>
    <w:multiLevelType w:val="hybridMultilevel"/>
    <w:tmpl w:val="18C6D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E3019A"/>
    <w:multiLevelType w:val="hybridMultilevel"/>
    <w:tmpl w:val="0B2C0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FB3CD6"/>
    <w:multiLevelType w:val="hybridMultilevel"/>
    <w:tmpl w:val="2730D5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9F4832"/>
    <w:multiLevelType w:val="hybridMultilevel"/>
    <w:tmpl w:val="3E1626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0B654FE"/>
    <w:multiLevelType w:val="hybridMultilevel"/>
    <w:tmpl w:val="D21634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5C3AA6"/>
    <w:multiLevelType w:val="hybridMultilevel"/>
    <w:tmpl w:val="4634951E"/>
    <w:lvl w:ilvl="0" w:tplc="20BA08E2">
      <w:numFmt w:val="bullet"/>
      <w:lvlText w:val="-"/>
      <w:lvlJc w:val="left"/>
      <w:pPr>
        <w:ind w:left="1800" w:hanging="360"/>
      </w:pPr>
      <w:rPr>
        <w:rFonts w:ascii="Calibri" w:eastAsia="Times New Roman" w:hAnsi="Calibri" w:cs="Calibri"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0" w15:restartNumberingAfterBreak="0">
    <w:nsid w:val="4EBD7D8D"/>
    <w:multiLevelType w:val="hybridMultilevel"/>
    <w:tmpl w:val="96223FEA"/>
    <w:lvl w:ilvl="0" w:tplc="5FA4A6BA">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C77B85"/>
    <w:multiLevelType w:val="hybridMultilevel"/>
    <w:tmpl w:val="F064E5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E026D2"/>
    <w:multiLevelType w:val="hybridMultilevel"/>
    <w:tmpl w:val="E634E2A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3" w15:restartNumberingAfterBreak="0">
    <w:nsid w:val="512C5524"/>
    <w:multiLevelType w:val="hybridMultilevel"/>
    <w:tmpl w:val="4872967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52A11EC4"/>
    <w:multiLevelType w:val="hybridMultilevel"/>
    <w:tmpl w:val="16368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EA2710"/>
    <w:multiLevelType w:val="multilevel"/>
    <w:tmpl w:val="B83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F35E5"/>
    <w:multiLevelType w:val="hybridMultilevel"/>
    <w:tmpl w:val="9E12A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E6259E"/>
    <w:multiLevelType w:val="hybridMultilevel"/>
    <w:tmpl w:val="AB22B88C"/>
    <w:lvl w:ilvl="0" w:tplc="F3C8F7EC">
      <w:numFmt w:val="bullet"/>
      <w:lvlText w:val=""/>
      <w:lvlJc w:val="left"/>
      <w:pPr>
        <w:ind w:left="720" w:hanging="360"/>
      </w:pPr>
      <w:rPr>
        <w:rFonts w:ascii="Symbol" w:eastAsia="Nunito Sans"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B200975"/>
    <w:multiLevelType w:val="hybridMultilevel"/>
    <w:tmpl w:val="0714F466"/>
    <w:lvl w:ilvl="0" w:tplc="14090003">
      <w:start w:val="1"/>
      <w:numFmt w:val="bullet"/>
      <w:lvlText w:val="o"/>
      <w:lvlJc w:val="left"/>
      <w:pPr>
        <w:ind w:left="1042" w:hanging="360"/>
      </w:pPr>
      <w:rPr>
        <w:rFonts w:ascii="Courier New" w:hAnsi="Courier New" w:cs="Courier New" w:hint="default"/>
      </w:rPr>
    </w:lvl>
    <w:lvl w:ilvl="1" w:tplc="14090003" w:tentative="1">
      <w:start w:val="1"/>
      <w:numFmt w:val="bullet"/>
      <w:lvlText w:val="o"/>
      <w:lvlJc w:val="left"/>
      <w:pPr>
        <w:ind w:left="1762" w:hanging="360"/>
      </w:pPr>
      <w:rPr>
        <w:rFonts w:ascii="Courier New" w:hAnsi="Courier New" w:cs="Courier New" w:hint="default"/>
      </w:rPr>
    </w:lvl>
    <w:lvl w:ilvl="2" w:tplc="14090005" w:tentative="1">
      <w:start w:val="1"/>
      <w:numFmt w:val="bullet"/>
      <w:lvlText w:val=""/>
      <w:lvlJc w:val="left"/>
      <w:pPr>
        <w:ind w:left="2482" w:hanging="360"/>
      </w:pPr>
      <w:rPr>
        <w:rFonts w:ascii="Wingdings" w:hAnsi="Wingdings" w:hint="default"/>
      </w:rPr>
    </w:lvl>
    <w:lvl w:ilvl="3" w:tplc="14090001" w:tentative="1">
      <w:start w:val="1"/>
      <w:numFmt w:val="bullet"/>
      <w:lvlText w:val=""/>
      <w:lvlJc w:val="left"/>
      <w:pPr>
        <w:ind w:left="3202" w:hanging="360"/>
      </w:pPr>
      <w:rPr>
        <w:rFonts w:ascii="Symbol" w:hAnsi="Symbol" w:hint="default"/>
      </w:rPr>
    </w:lvl>
    <w:lvl w:ilvl="4" w:tplc="14090003" w:tentative="1">
      <w:start w:val="1"/>
      <w:numFmt w:val="bullet"/>
      <w:lvlText w:val="o"/>
      <w:lvlJc w:val="left"/>
      <w:pPr>
        <w:ind w:left="3922" w:hanging="360"/>
      </w:pPr>
      <w:rPr>
        <w:rFonts w:ascii="Courier New" w:hAnsi="Courier New" w:cs="Courier New" w:hint="default"/>
      </w:rPr>
    </w:lvl>
    <w:lvl w:ilvl="5" w:tplc="14090005" w:tentative="1">
      <w:start w:val="1"/>
      <w:numFmt w:val="bullet"/>
      <w:lvlText w:val=""/>
      <w:lvlJc w:val="left"/>
      <w:pPr>
        <w:ind w:left="4642" w:hanging="360"/>
      </w:pPr>
      <w:rPr>
        <w:rFonts w:ascii="Wingdings" w:hAnsi="Wingdings" w:hint="default"/>
      </w:rPr>
    </w:lvl>
    <w:lvl w:ilvl="6" w:tplc="14090001" w:tentative="1">
      <w:start w:val="1"/>
      <w:numFmt w:val="bullet"/>
      <w:lvlText w:val=""/>
      <w:lvlJc w:val="left"/>
      <w:pPr>
        <w:ind w:left="5362" w:hanging="360"/>
      </w:pPr>
      <w:rPr>
        <w:rFonts w:ascii="Symbol" w:hAnsi="Symbol" w:hint="default"/>
      </w:rPr>
    </w:lvl>
    <w:lvl w:ilvl="7" w:tplc="14090003" w:tentative="1">
      <w:start w:val="1"/>
      <w:numFmt w:val="bullet"/>
      <w:lvlText w:val="o"/>
      <w:lvlJc w:val="left"/>
      <w:pPr>
        <w:ind w:left="6082" w:hanging="360"/>
      </w:pPr>
      <w:rPr>
        <w:rFonts w:ascii="Courier New" w:hAnsi="Courier New" w:cs="Courier New" w:hint="default"/>
      </w:rPr>
    </w:lvl>
    <w:lvl w:ilvl="8" w:tplc="14090005" w:tentative="1">
      <w:start w:val="1"/>
      <w:numFmt w:val="bullet"/>
      <w:lvlText w:val=""/>
      <w:lvlJc w:val="left"/>
      <w:pPr>
        <w:ind w:left="6802" w:hanging="360"/>
      </w:pPr>
      <w:rPr>
        <w:rFonts w:ascii="Wingdings" w:hAnsi="Wingdings" w:hint="default"/>
      </w:rPr>
    </w:lvl>
  </w:abstractNum>
  <w:abstractNum w:abstractNumId="29" w15:restartNumberingAfterBreak="0">
    <w:nsid w:val="74594535"/>
    <w:multiLevelType w:val="hybridMultilevel"/>
    <w:tmpl w:val="68CA7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1E6B18"/>
    <w:multiLevelType w:val="hybridMultilevel"/>
    <w:tmpl w:val="96BE6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83505C"/>
    <w:multiLevelType w:val="hybridMultilevel"/>
    <w:tmpl w:val="51B045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BE41C37"/>
    <w:multiLevelType w:val="hybridMultilevel"/>
    <w:tmpl w:val="1B54E4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2205E1"/>
    <w:multiLevelType w:val="hybridMultilevel"/>
    <w:tmpl w:val="758CE5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D5C0DEF"/>
    <w:multiLevelType w:val="hybridMultilevel"/>
    <w:tmpl w:val="853497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26567569">
    <w:abstractNumId w:val="29"/>
  </w:num>
  <w:num w:numId="2" w16cid:durableId="262035109">
    <w:abstractNumId w:val="24"/>
  </w:num>
  <w:num w:numId="3" w16cid:durableId="838541473">
    <w:abstractNumId w:val="26"/>
  </w:num>
  <w:num w:numId="4" w16cid:durableId="70087660">
    <w:abstractNumId w:val="10"/>
  </w:num>
  <w:num w:numId="5" w16cid:durableId="1778212023">
    <w:abstractNumId w:val="22"/>
  </w:num>
  <w:num w:numId="6" w16cid:durableId="547764018">
    <w:abstractNumId w:val="30"/>
  </w:num>
  <w:num w:numId="7" w16cid:durableId="814953901">
    <w:abstractNumId w:val="23"/>
  </w:num>
  <w:num w:numId="8" w16cid:durableId="1658730697">
    <w:abstractNumId w:val="15"/>
  </w:num>
  <w:num w:numId="9" w16cid:durableId="613757292">
    <w:abstractNumId w:val="17"/>
  </w:num>
  <w:num w:numId="10" w16cid:durableId="1547444818">
    <w:abstractNumId w:val="20"/>
  </w:num>
  <w:num w:numId="11" w16cid:durableId="955676379">
    <w:abstractNumId w:val="5"/>
  </w:num>
  <w:num w:numId="12" w16cid:durableId="2048947293">
    <w:abstractNumId w:val="4"/>
  </w:num>
  <w:num w:numId="13" w16cid:durableId="1378240852">
    <w:abstractNumId w:val="3"/>
  </w:num>
  <w:num w:numId="14" w16cid:durableId="1780756588">
    <w:abstractNumId w:val="2"/>
  </w:num>
  <w:num w:numId="15" w16cid:durableId="1839424925">
    <w:abstractNumId w:val="1"/>
  </w:num>
  <w:num w:numId="16" w16cid:durableId="2006740198">
    <w:abstractNumId w:val="34"/>
  </w:num>
  <w:num w:numId="17" w16cid:durableId="1144547708">
    <w:abstractNumId w:val="12"/>
  </w:num>
  <w:num w:numId="18" w16cid:durableId="871846647">
    <w:abstractNumId w:val="6"/>
  </w:num>
  <w:num w:numId="19" w16cid:durableId="875043580">
    <w:abstractNumId w:val="33"/>
  </w:num>
  <w:num w:numId="20" w16cid:durableId="202448244">
    <w:abstractNumId w:val="11"/>
  </w:num>
  <w:num w:numId="21" w16cid:durableId="603614795">
    <w:abstractNumId w:val="31"/>
  </w:num>
  <w:num w:numId="22" w16cid:durableId="2099786818">
    <w:abstractNumId w:val="9"/>
  </w:num>
  <w:num w:numId="23" w16cid:durableId="1849631664">
    <w:abstractNumId w:val="18"/>
  </w:num>
  <w:num w:numId="24" w16cid:durableId="2072847329">
    <w:abstractNumId w:val="14"/>
  </w:num>
  <w:num w:numId="25" w16cid:durableId="1569414409">
    <w:abstractNumId w:val="32"/>
  </w:num>
  <w:num w:numId="26" w16cid:durableId="766392363">
    <w:abstractNumId w:val="27"/>
  </w:num>
  <w:num w:numId="27" w16cid:durableId="1116558410">
    <w:abstractNumId w:val="0"/>
  </w:num>
  <w:num w:numId="28" w16cid:durableId="610674185">
    <w:abstractNumId w:val="13"/>
  </w:num>
  <w:num w:numId="29" w16cid:durableId="1565287741">
    <w:abstractNumId w:val="8"/>
  </w:num>
  <w:num w:numId="30" w16cid:durableId="1959337925">
    <w:abstractNumId w:val="19"/>
  </w:num>
  <w:num w:numId="31" w16cid:durableId="1836875623">
    <w:abstractNumId w:val="28"/>
  </w:num>
  <w:num w:numId="32" w16cid:durableId="2109304330">
    <w:abstractNumId w:val="21"/>
  </w:num>
  <w:num w:numId="33" w16cid:durableId="507258679">
    <w:abstractNumId w:val="16"/>
  </w:num>
  <w:num w:numId="34" w16cid:durableId="2102946479">
    <w:abstractNumId w:val="25"/>
  </w:num>
  <w:num w:numId="35" w16cid:durableId="937257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70"/>
    <w:rsid w:val="00003373"/>
    <w:rsid w:val="000B3BD2"/>
    <w:rsid w:val="000C15C9"/>
    <w:rsid w:val="000E5DE8"/>
    <w:rsid w:val="000E6100"/>
    <w:rsid w:val="000F1EE9"/>
    <w:rsid w:val="001239C0"/>
    <w:rsid w:val="00161F68"/>
    <w:rsid w:val="00165C0D"/>
    <w:rsid w:val="001719D0"/>
    <w:rsid w:val="001A2CFA"/>
    <w:rsid w:val="001B5FB3"/>
    <w:rsid w:val="001C18A6"/>
    <w:rsid w:val="001F5836"/>
    <w:rsid w:val="00224C4F"/>
    <w:rsid w:val="00227DA7"/>
    <w:rsid w:val="00277942"/>
    <w:rsid w:val="002839E8"/>
    <w:rsid w:val="002B130D"/>
    <w:rsid w:val="002C370D"/>
    <w:rsid w:val="002D18BE"/>
    <w:rsid w:val="002D4139"/>
    <w:rsid w:val="002F3A8F"/>
    <w:rsid w:val="00310A74"/>
    <w:rsid w:val="003238D2"/>
    <w:rsid w:val="00332022"/>
    <w:rsid w:val="003600D3"/>
    <w:rsid w:val="0036626D"/>
    <w:rsid w:val="00367623"/>
    <w:rsid w:val="00390731"/>
    <w:rsid w:val="003A1C44"/>
    <w:rsid w:val="003A3275"/>
    <w:rsid w:val="003B4434"/>
    <w:rsid w:val="003C4FF1"/>
    <w:rsid w:val="003F2998"/>
    <w:rsid w:val="003F61FD"/>
    <w:rsid w:val="00400A16"/>
    <w:rsid w:val="00400AEF"/>
    <w:rsid w:val="00404423"/>
    <w:rsid w:val="00417AE5"/>
    <w:rsid w:val="00426C1A"/>
    <w:rsid w:val="00433FF4"/>
    <w:rsid w:val="0045501F"/>
    <w:rsid w:val="004733E3"/>
    <w:rsid w:val="00491249"/>
    <w:rsid w:val="004966B5"/>
    <w:rsid w:val="004A2913"/>
    <w:rsid w:val="004B2EA1"/>
    <w:rsid w:val="004B693C"/>
    <w:rsid w:val="004C26CC"/>
    <w:rsid w:val="004E19B1"/>
    <w:rsid w:val="0051070A"/>
    <w:rsid w:val="00545D18"/>
    <w:rsid w:val="005C1B55"/>
    <w:rsid w:val="005E5919"/>
    <w:rsid w:val="00601F8A"/>
    <w:rsid w:val="00613487"/>
    <w:rsid w:val="00620C6D"/>
    <w:rsid w:val="00644805"/>
    <w:rsid w:val="00647095"/>
    <w:rsid w:val="0065098F"/>
    <w:rsid w:val="006663BA"/>
    <w:rsid w:val="00677F32"/>
    <w:rsid w:val="006847E2"/>
    <w:rsid w:val="006A74C3"/>
    <w:rsid w:val="006C6115"/>
    <w:rsid w:val="006D4DB1"/>
    <w:rsid w:val="006E7C7A"/>
    <w:rsid w:val="00701353"/>
    <w:rsid w:val="007104E3"/>
    <w:rsid w:val="00713CC4"/>
    <w:rsid w:val="00715517"/>
    <w:rsid w:val="00717618"/>
    <w:rsid w:val="00720CEA"/>
    <w:rsid w:val="00725288"/>
    <w:rsid w:val="0074340A"/>
    <w:rsid w:val="00746350"/>
    <w:rsid w:val="007527A6"/>
    <w:rsid w:val="007717EF"/>
    <w:rsid w:val="0078599D"/>
    <w:rsid w:val="00786A6A"/>
    <w:rsid w:val="00786B48"/>
    <w:rsid w:val="00790C38"/>
    <w:rsid w:val="00794A8A"/>
    <w:rsid w:val="00797172"/>
    <w:rsid w:val="007974B5"/>
    <w:rsid w:val="007A623E"/>
    <w:rsid w:val="007B3BC4"/>
    <w:rsid w:val="007B531B"/>
    <w:rsid w:val="007D2095"/>
    <w:rsid w:val="008068F0"/>
    <w:rsid w:val="008075EC"/>
    <w:rsid w:val="00824DA7"/>
    <w:rsid w:val="008268B1"/>
    <w:rsid w:val="00832038"/>
    <w:rsid w:val="008331E7"/>
    <w:rsid w:val="00841B3D"/>
    <w:rsid w:val="0085758B"/>
    <w:rsid w:val="008704FC"/>
    <w:rsid w:val="00875DE8"/>
    <w:rsid w:val="00882118"/>
    <w:rsid w:val="0088436A"/>
    <w:rsid w:val="008A0808"/>
    <w:rsid w:val="008B1335"/>
    <w:rsid w:val="008B70D8"/>
    <w:rsid w:val="008C0A9B"/>
    <w:rsid w:val="008C7315"/>
    <w:rsid w:val="008D266F"/>
    <w:rsid w:val="008E3949"/>
    <w:rsid w:val="008E5670"/>
    <w:rsid w:val="008E7301"/>
    <w:rsid w:val="0091056C"/>
    <w:rsid w:val="00930DAB"/>
    <w:rsid w:val="00954F94"/>
    <w:rsid w:val="00985B8E"/>
    <w:rsid w:val="00985BEA"/>
    <w:rsid w:val="009B79C5"/>
    <w:rsid w:val="009C2820"/>
    <w:rsid w:val="009E749B"/>
    <w:rsid w:val="00A06BF6"/>
    <w:rsid w:val="00A31BDC"/>
    <w:rsid w:val="00A47B78"/>
    <w:rsid w:val="00A55605"/>
    <w:rsid w:val="00A6321E"/>
    <w:rsid w:val="00A64844"/>
    <w:rsid w:val="00A66679"/>
    <w:rsid w:val="00A7080E"/>
    <w:rsid w:val="00A71182"/>
    <w:rsid w:val="00AA4813"/>
    <w:rsid w:val="00AB0D63"/>
    <w:rsid w:val="00AE1D56"/>
    <w:rsid w:val="00AE6F9C"/>
    <w:rsid w:val="00B03987"/>
    <w:rsid w:val="00B27BAB"/>
    <w:rsid w:val="00B27DE3"/>
    <w:rsid w:val="00B319C0"/>
    <w:rsid w:val="00B5498D"/>
    <w:rsid w:val="00B61C5E"/>
    <w:rsid w:val="00B678C7"/>
    <w:rsid w:val="00B708A3"/>
    <w:rsid w:val="00B83523"/>
    <w:rsid w:val="00BA1905"/>
    <w:rsid w:val="00BB3925"/>
    <w:rsid w:val="00BC4860"/>
    <w:rsid w:val="00BC613B"/>
    <w:rsid w:val="00BC7502"/>
    <w:rsid w:val="00BD7EB2"/>
    <w:rsid w:val="00BE0128"/>
    <w:rsid w:val="00BE48F6"/>
    <w:rsid w:val="00C374DB"/>
    <w:rsid w:val="00C4142E"/>
    <w:rsid w:val="00C4293B"/>
    <w:rsid w:val="00C5506F"/>
    <w:rsid w:val="00C61B5B"/>
    <w:rsid w:val="00C8619F"/>
    <w:rsid w:val="00C934BE"/>
    <w:rsid w:val="00CA40A1"/>
    <w:rsid w:val="00CB7D62"/>
    <w:rsid w:val="00CC65C5"/>
    <w:rsid w:val="00CC6750"/>
    <w:rsid w:val="00CD1583"/>
    <w:rsid w:val="00CE3183"/>
    <w:rsid w:val="00CE7179"/>
    <w:rsid w:val="00D02EFF"/>
    <w:rsid w:val="00D0488F"/>
    <w:rsid w:val="00D2170A"/>
    <w:rsid w:val="00D2274E"/>
    <w:rsid w:val="00D36283"/>
    <w:rsid w:val="00D54CC1"/>
    <w:rsid w:val="00D63A79"/>
    <w:rsid w:val="00D64747"/>
    <w:rsid w:val="00D9053D"/>
    <w:rsid w:val="00DB3063"/>
    <w:rsid w:val="00DC1C2F"/>
    <w:rsid w:val="00DC68B1"/>
    <w:rsid w:val="00DD4AD7"/>
    <w:rsid w:val="00DD4F95"/>
    <w:rsid w:val="00DE1B32"/>
    <w:rsid w:val="00DE69CB"/>
    <w:rsid w:val="00DF5DC0"/>
    <w:rsid w:val="00E15956"/>
    <w:rsid w:val="00E23723"/>
    <w:rsid w:val="00E660CE"/>
    <w:rsid w:val="00E72D8F"/>
    <w:rsid w:val="00E75938"/>
    <w:rsid w:val="00E77792"/>
    <w:rsid w:val="00E808EC"/>
    <w:rsid w:val="00E90280"/>
    <w:rsid w:val="00EA563F"/>
    <w:rsid w:val="00EA7301"/>
    <w:rsid w:val="00F021CB"/>
    <w:rsid w:val="00F27E30"/>
    <w:rsid w:val="00F30946"/>
    <w:rsid w:val="00F36355"/>
    <w:rsid w:val="00F50854"/>
    <w:rsid w:val="00F571A0"/>
    <w:rsid w:val="00F70AEC"/>
    <w:rsid w:val="00F957B1"/>
    <w:rsid w:val="00FD03CD"/>
    <w:rsid w:val="00FE1B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517C09"/>
  <w15:chartTrackingRefBased/>
  <w15:docId w15:val="{24E43536-5A6C-4CD3-9E80-774154AA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70"/>
    <w:pPr>
      <w:spacing w:after="200" w:line="276" w:lineRule="auto"/>
    </w:pPr>
  </w:style>
  <w:style w:type="paragraph" w:styleId="Heading1">
    <w:name w:val="heading 1"/>
    <w:basedOn w:val="Normal"/>
    <w:next w:val="Normal"/>
    <w:link w:val="Heading1Char"/>
    <w:uiPriority w:val="9"/>
    <w:qFormat/>
    <w:rsid w:val="00E90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0C3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next w:val="Normal"/>
    <w:link w:val="Heading3Char"/>
    <w:uiPriority w:val="9"/>
    <w:unhideWhenUsed/>
    <w:qFormat/>
    <w:rsid w:val="00E237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1B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670"/>
    <w:pPr>
      <w:ind w:left="720"/>
      <w:contextualSpacing/>
    </w:pPr>
  </w:style>
  <w:style w:type="character" w:customStyle="1" w:styleId="ref-journal">
    <w:name w:val="ref-journal"/>
    <w:basedOn w:val="DefaultParagraphFont"/>
    <w:rsid w:val="008E5670"/>
  </w:style>
  <w:style w:type="character" w:styleId="Hyperlink">
    <w:name w:val="Hyperlink"/>
    <w:basedOn w:val="DefaultParagraphFont"/>
    <w:uiPriority w:val="99"/>
    <w:unhideWhenUsed/>
    <w:rsid w:val="008E5670"/>
    <w:rPr>
      <w:color w:val="0000FF"/>
      <w:u w:val="single"/>
    </w:rPr>
  </w:style>
  <w:style w:type="paragraph" w:styleId="Header">
    <w:name w:val="header"/>
    <w:basedOn w:val="Normal"/>
    <w:link w:val="HeaderChar"/>
    <w:uiPriority w:val="99"/>
    <w:unhideWhenUsed/>
    <w:rsid w:val="00790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38"/>
  </w:style>
  <w:style w:type="paragraph" w:styleId="Footer">
    <w:name w:val="footer"/>
    <w:basedOn w:val="Normal"/>
    <w:link w:val="FooterChar"/>
    <w:uiPriority w:val="99"/>
    <w:unhideWhenUsed/>
    <w:rsid w:val="0079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38"/>
  </w:style>
  <w:style w:type="character" w:customStyle="1" w:styleId="Heading2Char">
    <w:name w:val="Heading 2 Char"/>
    <w:basedOn w:val="DefaultParagraphFont"/>
    <w:link w:val="Heading2"/>
    <w:uiPriority w:val="9"/>
    <w:rsid w:val="00790C38"/>
    <w:rPr>
      <w:rFonts w:asciiTheme="majorHAnsi" w:eastAsiaTheme="majorEastAsia" w:hAnsiTheme="majorHAnsi" w:cstheme="majorBidi"/>
      <w:color w:val="2F5496" w:themeColor="accent1" w:themeShade="BF"/>
      <w:sz w:val="26"/>
      <w:szCs w:val="26"/>
      <w:lang w:val="en-GB" w:eastAsia="en-GB"/>
    </w:rPr>
  </w:style>
  <w:style w:type="character" w:styleId="UnresolvedMention">
    <w:name w:val="Unresolved Mention"/>
    <w:basedOn w:val="DefaultParagraphFont"/>
    <w:uiPriority w:val="99"/>
    <w:semiHidden/>
    <w:unhideWhenUsed/>
    <w:rsid w:val="006A74C3"/>
    <w:rPr>
      <w:color w:val="605E5C"/>
      <w:shd w:val="clear" w:color="auto" w:fill="E1DFDD"/>
    </w:rPr>
  </w:style>
  <w:style w:type="paragraph" w:customStyle="1" w:styleId="Default">
    <w:name w:val="Default"/>
    <w:rsid w:val="000E5DE8"/>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
    <w:qFormat/>
    <w:rsid w:val="00DC1C2F"/>
    <w:pPr>
      <w:autoSpaceDE w:val="0"/>
      <w:autoSpaceDN w:val="0"/>
      <w:adjustRightInd w:val="0"/>
      <w:spacing w:before="9"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DC1C2F"/>
    <w:rPr>
      <w:rFonts w:ascii="Times New Roman" w:hAnsi="Times New Roman" w:cs="Times New Roman"/>
      <w:sz w:val="24"/>
      <w:szCs w:val="24"/>
    </w:rPr>
  </w:style>
  <w:style w:type="paragraph" w:customStyle="1" w:styleId="TableParagraph">
    <w:name w:val="Table Paragraph"/>
    <w:basedOn w:val="Normal"/>
    <w:uiPriority w:val="1"/>
    <w:qFormat/>
    <w:rsid w:val="00DC1C2F"/>
    <w:pPr>
      <w:autoSpaceDE w:val="0"/>
      <w:autoSpaceDN w:val="0"/>
      <w:adjustRightInd w:val="0"/>
      <w:spacing w:after="0" w:line="240" w:lineRule="auto"/>
      <w:ind w:left="482"/>
    </w:pPr>
    <w:rPr>
      <w:rFonts w:ascii="Calibri" w:hAnsi="Calibri" w:cs="Calibri"/>
      <w:sz w:val="24"/>
      <w:szCs w:val="24"/>
    </w:rPr>
  </w:style>
  <w:style w:type="table" w:styleId="ListTable3-Accent1">
    <w:name w:val="List Table 3 Accent 1"/>
    <w:basedOn w:val="TableNormal"/>
    <w:uiPriority w:val="48"/>
    <w:rsid w:val="00E2372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3Char">
    <w:name w:val="Heading 3 Char"/>
    <w:basedOn w:val="DefaultParagraphFont"/>
    <w:link w:val="Heading3"/>
    <w:uiPriority w:val="9"/>
    <w:rsid w:val="00E2372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33FF4"/>
    <w:rPr>
      <w:color w:val="954F72" w:themeColor="followedHyperlink"/>
      <w:u w:val="single"/>
    </w:rPr>
  </w:style>
  <w:style w:type="character" w:styleId="CommentReference">
    <w:name w:val="annotation reference"/>
    <w:basedOn w:val="DefaultParagraphFont"/>
    <w:uiPriority w:val="99"/>
    <w:semiHidden/>
    <w:unhideWhenUsed/>
    <w:rsid w:val="00F36355"/>
    <w:rPr>
      <w:sz w:val="16"/>
      <w:szCs w:val="16"/>
    </w:rPr>
  </w:style>
  <w:style w:type="paragraph" w:styleId="CommentText">
    <w:name w:val="annotation text"/>
    <w:basedOn w:val="Normal"/>
    <w:link w:val="CommentTextChar"/>
    <w:uiPriority w:val="99"/>
    <w:unhideWhenUsed/>
    <w:rsid w:val="00F36355"/>
    <w:pPr>
      <w:spacing w:line="240" w:lineRule="auto"/>
    </w:pPr>
    <w:rPr>
      <w:sz w:val="20"/>
      <w:szCs w:val="20"/>
    </w:rPr>
  </w:style>
  <w:style w:type="character" w:customStyle="1" w:styleId="CommentTextChar">
    <w:name w:val="Comment Text Char"/>
    <w:basedOn w:val="DefaultParagraphFont"/>
    <w:link w:val="CommentText"/>
    <w:uiPriority w:val="99"/>
    <w:rsid w:val="00F36355"/>
    <w:rPr>
      <w:sz w:val="20"/>
      <w:szCs w:val="20"/>
    </w:rPr>
  </w:style>
  <w:style w:type="paragraph" w:styleId="CommentSubject">
    <w:name w:val="annotation subject"/>
    <w:basedOn w:val="CommentText"/>
    <w:next w:val="CommentText"/>
    <w:link w:val="CommentSubjectChar"/>
    <w:uiPriority w:val="99"/>
    <w:semiHidden/>
    <w:unhideWhenUsed/>
    <w:rsid w:val="00F36355"/>
    <w:rPr>
      <w:b/>
      <w:bCs/>
    </w:rPr>
  </w:style>
  <w:style w:type="character" w:customStyle="1" w:styleId="CommentSubjectChar">
    <w:name w:val="Comment Subject Char"/>
    <w:basedOn w:val="CommentTextChar"/>
    <w:link w:val="CommentSubject"/>
    <w:uiPriority w:val="99"/>
    <w:semiHidden/>
    <w:rsid w:val="00F36355"/>
    <w:rPr>
      <w:b/>
      <w:bCs/>
      <w:sz w:val="20"/>
      <w:szCs w:val="20"/>
    </w:rPr>
  </w:style>
  <w:style w:type="paragraph" w:customStyle="1" w:styleId="bodytext">
    <w:name w:val="bodytext"/>
    <w:basedOn w:val="Normal"/>
    <w:rsid w:val="007B531B"/>
    <w:pPr>
      <w:spacing w:before="100" w:beforeAutospacing="1" w:after="100" w:afterAutospacing="1" w:line="240" w:lineRule="auto"/>
    </w:pPr>
    <w:rPr>
      <w:rFonts w:ascii="Times New Roman" w:eastAsia="Times New Roman" w:hAnsi="Times New Roman" w:cs="Times New Roman"/>
      <w:sz w:val="24"/>
      <w:szCs w:val="24"/>
      <w:lang w:val="mi-NZ" w:eastAsia="mi-NZ"/>
    </w:rPr>
  </w:style>
  <w:style w:type="character" w:styleId="Strong">
    <w:name w:val="Strong"/>
    <w:basedOn w:val="DefaultParagraphFont"/>
    <w:uiPriority w:val="22"/>
    <w:qFormat/>
    <w:rsid w:val="007B531B"/>
    <w:rPr>
      <w:b/>
      <w:bCs/>
    </w:rPr>
  </w:style>
  <w:style w:type="paragraph" w:customStyle="1" w:styleId="listbullet">
    <w:name w:val="listbullet"/>
    <w:basedOn w:val="Normal"/>
    <w:rsid w:val="007B531B"/>
    <w:pPr>
      <w:spacing w:before="100" w:beforeAutospacing="1" w:after="100" w:afterAutospacing="1" w:line="240" w:lineRule="auto"/>
    </w:pPr>
    <w:rPr>
      <w:rFonts w:ascii="Times New Roman" w:eastAsia="Times New Roman" w:hAnsi="Times New Roman" w:cs="Times New Roman"/>
      <w:sz w:val="24"/>
      <w:szCs w:val="24"/>
      <w:lang w:val="mi-NZ" w:eastAsia="mi-NZ"/>
    </w:rPr>
  </w:style>
  <w:style w:type="paragraph" w:customStyle="1" w:styleId="listbullet2">
    <w:name w:val="listbullet2"/>
    <w:basedOn w:val="Normal"/>
    <w:rsid w:val="007B531B"/>
    <w:pPr>
      <w:spacing w:before="100" w:beforeAutospacing="1" w:after="100" w:afterAutospacing="1" w:line="240" w:lineRule="auto"/>
    </w:pPr>
    <w:rPr>
      <w:rFonts w:ascii="Times New Roman" w:eastAsia="Times New Roman" w:hAnsi="Times New Roman" w:cs="Times New Roman"/>
      <w:sz w:val="24"/>
      <w:szCs w:val="24"/>
      <w:lang w:val="mi-NZ" w:eastAsia="mi-NZ"/>
    </w:rPr>
  </w:style>
  <w:style w:type="paragraph" w:customStyle="1" w:styleId="listcontinue">
    <w:name w:val="listcontinue"/>
    <w:basedOn w:val="Normal"/>
    <w:rsid w:val="007B531B"/>
    <w:pPr>
      <w:spacing w:before="100" w:beforeAutospacing="1" w:after="100" w:afterAutospacing="1" w:line="240" w:lineRule="auto"/>
    </w:pPr>
    <w:rPr>
      <w:rFonts w:ascii="Times New Roman" w:eastAsia="Times New Roman" w:hAnsi="Times New Roman" w:cs="Times New Roman"/>
      <w:sz w:val="24"/>
      <w:szCs w:val="24"/>
      <w:lang w:val="mi-NZ" w:eastAsia="mi-NZ"/>
    </w:rPr>
  </w:style>
  <w:style w:type="paragraph" w:styleId="Revision">
    <w:name w:val="Revision"/>
    <w:hidden/>
    <w:uiPriority w:val="99"/>
    <w:semiHidden/>
    <w:rsid w:val="00720CEA"/>
    <w:pPr>
      <w:spacing w:after="0" w:line="240" w:lineRule="auto"/>
    </w:pPr>
  </w:style>
  <w:style w:type="paragraph" w:styleId="NormalWeb">
    <w:name w:val="Normal (Web)"/>
    <w:basedOn w:val="Normal"/>
    <w:uiPriority w:val="99"/>
    <w:unhideWhenUsed/>
    <w:rsid w:val="00A6667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4Char">
    <w:name w:val="Heading 4 Char"/>
    <w:basedOn w:val="DefaultParagraphFont"/>
    <w:link w:val="Heading4"/>
    <w:uiPriority w:val="9"/>
    <w:semiHidden/>
    <w:rsid w:val="00841B3D"/>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E902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71796">
      <w:bodyDiv w:val="1"/>
      <w:marLeft w:val="0"/>
      <w:marRight w:val="0"/>
      <w:marTop w:val="0"/>
      <w:marBottom w:val="0"/>
      <w:divBdr>
        <w:top w:val="none" w:sz="0" w:space="0" w:color="auto"/>
        <w:left w:val="none" w:sz="0" w:space="0" w:color="auto"/>
        <w:bottom w:val="none" w:sz="0" w:space="0" w:color="auto"/>
        <w:right w:val="none" w:sz="0" w:space="0" w:color="auto"/>
      </w:divBdr>
    </w:div>
    <w:div w:id="220870025">
      <w:bodyDiv w:val="1"/>
      <w:marLeft w:val="0"/>
      <w:marRight w:val="0"/>
      <w:marTop w:val="0"/>
      <w:marBottom w:val="0"/>
      <w:divBdr>
        <w:top w:val="none" w:sz="0" w:space="0" w:color="auto"/>
        <w:left w:val="none" w:sz="0" w:space="0" w:color="auto"/>
        <w:bottom w:val="none" w:sz="0" w:space="0" w:color="auto"/>
        <w:right w:val="none" w:sz="0" w:space="0" w:color="auto"/>
      </w:divBdr>
    </w:div>
    <w:div w:id="727844032">
      <w:bodyDiv w:val="1"/>
      <w:marLeft w:val="0"/>
      <w:marRight w:val="0"/>
      <w:marTop w:val="0"/>
      <w:marBottom w:val="0"/>
      <w:divBdr>
        <w:top w:val="none" w:sz="0" w:space="0" w:color="auto"/>
        <w:left w:val="none" w:sz="0" w:space="0" w:color="auto"/>
        <w:bottom w:val="none" w:sz="0" w:space="0" w:color="auto"/>
        <w:right w:val="none" w:sz="0" w:space="0" w:color="auto"/>
      </w:divBdr>
    </w:div>
    <w:div w:id="1139802595">
      <w:bodyDiv w:val="1"/>
      <w:marLeft w:val="0"/>
      <w:marRight w:val="0"/>
      <w:marTop w:val="0"/>
      <w:marBottom w:val="0"/>
      <w:divBdr>
        <w:top w:val="none" w:sz="0" w:space="0" w:color="auto"/>
        <w:left w:val="none" w:sz="0" w:space="0" w:color="auto"/>
        <w:bottom w:val="none" w:sz="0" w:space="0" w:color="auto"/>
        <w:right w:val="none" w:sz="0" w:space="0" w:color="auto"/>
      </w:divBdr>
      <w:divsChild>
        <w:div w:id="1758867174">
          <w:marLeft w:val="0"/>
          <w:marRight w:val="0"/>
          <w:marTop w:val="0"/>
          <w:marBottom w:val="0"/>
          <w:divBdr>
            <w:top w:val="none" w:sz="0" w:space="0" w:color="auto"/>
            <w:left w:val="none" w:sz="0" w:space="0" w:color="auto"/>
            <w:bottom w:val="none" w:sz="0" w:space="0" w:color="auto"/>
            <w:right w:val="none" w:sz="0" w:space="0" w:color="auto"/>
          </w:divBdr>
        </w:div>
      </w:divsChild>
    </w:div>
    <w:div w:id="1447890720">
      <w:bodyDiv w:val="1"/>
      <w:marLeft w:val="0"/>
      <w:marRight w:val="0"/>
      <w:marTop w:val="0"/>
      <w:marBottom w:val="0"/>
      <w:divBdr>
        <w:top w:val="none" w:sz="0" w:space="0" w:color="auto"/>
        <w:left w:val="none" w:sz="0" w:space="0" w:color="auto"/>
        <w:bottom w:val="none" w:sz="0" w:space="0" w:color="auto"/>
        <w:right w:val="none" w:sz="0" w:space="0" w:color="auto"/>
      </w:divBdr>
    </w:div>
    <w:div w:id="208044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t.nz/our-work/preventative-health-wellness/immunisation/new-zealand-immunisation-schedule" TargetMode="External"/><Relationship Id="rId18" Type="http://schemas.openxmlformats.org/officeDocument/2006/relationships/hyperlink" Target="http://www.immune.org.nz/" TargetMode="External"/><Relationship Id="rId26" Type="http://schemas.openxmlformats.org/officeDocument/2006/relationships/hyperlink" Target="https://www.tewhatuora.govt.nz/for-the-health-sector/vaccine-information/vaccine-service-delivery/cold-chain-standards-for-vaccines/" TargetMode="External"/><Relationship Id="rId39" Type="http://schemas.openxmlformats.org/officeDocument/2006/relationships/hyperlink" Target="https://cdn.prod.website-files.com/626347e28491730d2bea1832/633b59ae775abc90ca088fc6_ColdChainVaccineRegister20181008V01Final_0.doc" TargetMode="External"/><Relationship Id="rId21" Type="http://schemas.openxmlformats.org/officeDocument/2006/relationships/hyperlink" Target="https://www.health.govt.nz/our-work/immunisation-handbook-2020/3-vaccination-questions-and-addressing-concerns" TargetMode="External"/><Relationship Id="rId34" Type="http://schemas.openxmlformats.org/officeDocument/2006/relationships/hyperlink" Target="https://cdn.prod.website-files.com/637315ab5c5af16c7e809c42/659c84bf73cf29bcac8f76fe_cold%20chain%20temperature%20breech%20flow%20chart.pdf" TargetMode="External"/><Relationship Id="rId42" Type="http://schemas.openxmlformats.org/officeDocument/2006/relationships/hyperlink" Target="https://acrobat.adobe.com/link/track?uri=urn:aaid:scds:US:2bdf9f28-2d71-31d4-a1fd-5578589022b8" TargetMode="External"/><Relationship Id="rId47" Type="http://schemas.openxmlformats.org/officeDocument/2006/relationships/hyperlink" Target="https://cdn.prod.website-files.com/626347e28491730d2bea1832/633b5a1ce7e657c0ab8c1fe8_COOL%20Project%20Stakeholder%20Summary%20Report%20_FINAL%20December%202017%20updated%206%20Dec%202019.pdf" TargetMode="External"/><Relationship Id="rId50" Type="http://schemas.openxmlformats.org/officeDocument/2006/relationships/hyperlink" Target="http://www.immune.org.nz"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ewhatuora.govt.nz/for-health-professionals/clinical-guidance/immunisation-handbook" TargetMode="External"/><Relationship Id="rId20" Type="http://schemas.openxmlformats.org/officeDocument/2006/relationships/hyperlink" Target="https://www.immune.org.nz/factsheets/pre-vaccination-screening-tool" TargetMode="External"/><Relationship Id="rId29" Type="http://schemas.openxmlformats.org/officeDocument/2006/relationships/hyperlink" Target="https://www.tewhatuora.govt.nz/publications/2021-addendum-to-national-standards-for-vaccine-storage-and-transportation-providers-2017-2nd-edition/" TargetMode="External"/><Relationship Id="rId41" Type="http://schemas.openxmlformats.org/officeDocument/2006/relationships/hyperlink" Target="https://cdn.prod.website-files.com/626347e28491730d2bea1832/633b5b264e7f87713dee47ed_StandardColdChainImac20200501V01Final.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t.nz/our-work/immunisation-handbook-2020" TargetMode="External"/><Relationship Id="rId24" Type="http://schemas.openxmlformats.org/officeDocument/2006/relationships/hyperlink" Target="https://www.healthed.govt.nz/resource/immunisation-certificate" TargetMode="External"/><Relationship Id="rId32" Type="http://schemas.openxmlformats.org/officeDocument/2006/relationships/hyperlink" Target="https://www.health.govt.nz/our-work/preventative-health-wellness/immunisation/national-immunisation-programme-cold-chain-management" TargetMode="External"/><Relationship Id="rId37" Type="http://schemas.openxmlformats.org/officeDocument/2006/relationships/hyperlink" Target="https://cdn.prod.website-files.com/626347e28491730d2bea1832/633b5997aeb69d7560cf0b31_ColdChainOrientationGuideCheck%20updated%20May%202020_0.docx" TargetMode="External"/><Relationship Id="rId40" Type="http://schemas.openxmlformats.org/officeDocument/2006/relationships/hyperlink" Target="https://cdn.prod.website-files.com/626347e28491730d2bea1832/633b59ae775abc90ca088fc6_ColdChainVaccineRegister20181008V01Final_0.doc" TargetMode="External"/><Relationship Id="rId45" Type="http://schemas.openxmlformats.org/officeDocument/2006/relationships/hyperlink" Target="https://cdn.prod.website-files.com/626347e28491730d2bea1832/633b59875261e87b2927d830_ColdChainOffSiteTempLog20181008V01Final.docx" TargetMode="External"/><Relationship Id="rId53" Type="http://schemas.openxmlformats.org/officeDocument/2006/relationships/footer" Target="footer1.xml"/><Relationship Id="rId58" Type="http://schemas.openxmlformats.org/officeDocument/2006/relationships/hyperlink" Target="https://0cdff8af-61ed-4332-bd85-055a711ea5ed.usrfiles.com/ugd/0cdff8_e7865f3af6324654a25d96e4ec8ef4a2.pdf" TargetMode="External"/><Relationship Id="rId5" Type="http://schemas.openxmlformats.org/officeDocument/2006/relationships/styles" Target="styles.xml"/><Relationship Id="rId15" Type="http://schemas.openxmlformats.org/officeDocument/2006/relationships/hyperlink" Target="https://www.tewhatuora.govt.nz/for-health-professionals/clinical-guidance/immunisation-handbook/funded-vaccines-for-special-groups/" TargetMode="External"/><Relationship Id="rId23" Type="http://schemas.openxmlformats.org/officeDocument/2006/relationships/hyperlink" Target="https://www.health.govt.nz/our-work/immunisation-handbook-2020/3-vaccination-questions-and-addressing-concerns" TargetMode="External"/><Relationship Id="rId28" Type="http://schemas.openxmlformats.org/officeDocument/2006/relationships/hyperlink" Target="https://www.health.govt.nz/publication/national-standards-vaccine-storage-and-transportation-immunisation-providers-2017" TargetMode="External"/><Relationship Id="rId36" Type="http://schemas.openxmlformats.org/officeDocument/2006/relationships/hyperlink" Target="https://cdn.prod.website-files.com/626347e28491730d2bea1832/633b59a5db65f1ba22e4b315_ColdChainRecFolderContents%20updated%20May%202020.docx" TargetMode="External"/><Relationship Id="rId49" Type="http://schemas.openxmlformats.org/officeDocument/2006/relationships/hyperlink" Target="https://www.immune.org.nz/factsheets/vaccine-incident-reporting-form" TargetMode="External"/><Relationship Id="rId57" Type="http://schemas.openxmlformats.org/officeDocument/2006/relationships/hyperlink" Target="https://0cdff8af-61ed-4332-bd85-055a711ea5ed.usrfiles.com/ugd/0cdff8_e7865f3af6324654a25d96e4ec8ef4a2.pdf" TargetMode="External"/><Relationship Id="rId61" Type="http://schemas.openxmlformats.org/officeDocument/2006/relationships/theme" Target="theme/theme1.xml"/><Relationship Id="rId10" Type="http://schemas.openxmlformats.org/officeDocument/2006/relationships/hyperlink" Target="http://www.health.govt.nz/our-work/preventative-health-wellness/immunisation/new-zealand-immunisation-schedule" TargetMode="External"/><Relationship Id="rId19" Type="http://schemas.openxmlformats.org/officeDocument/2006/relationships/hyperlink" Target="https://www.immune.org.nz/factsheets/equity-and-best-practice-immunisation" TargetMode="External"/><Relationship Id="rId31" Type="http://schemas.openxmlformats.org/officeDocument/2006/relationships/hyperlink" Target="https://cdn.prod.website-files.com/626347e28491730d2bea1832/633b59386fc46655d5958fa5_Cold_Chain_Policy_Template_09-2022_final.docx" TargetMode="External"/><Relationship Id="rId44" Type="http://schemas.openxmlformats.org/officeDocument/2006/relationships/hyperlink" Target="https://acrobat.adobe.com/link/track?uri=urn:aaid:scds:US:61df5e07-4b7b-38bf-a006-e36c26da4c8b" TargetMode="External"/><Relationship Id="rId52" Type="http://schemas.openxmlformats.org/officeDocument/2006/relationships/hyperlink" Target="https://0cdff8af-61ed-4332-bd85-055a711ea5ed.usrfiles.com/ugd/0cdff8_e7865f3af6324654a25d96e4ec8ef4a2.pdf"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whatuora.govt.nz/for-health-professionals/clinical-guidance/immunisation-handbook/5-coronavirus-disease-covid-19/" TargetMode="External"/><Relationship Id="rId22" Type="http://schemas.openxmlformats.org/officeDocument/2006/relationships/hyperlink" Target="https://healthed.govt.nz/products/after-your-child-is-immunised" TargetMode="External"/><Relationship Id="rId27" Type="http://schemas.openxmlformats.org/officeDocument/2006/relationships/hyperlink" Target="https://www.health.govt.nz/publication/national-standards-vaccine-storage-and-transportation-immunisation-providers-2017" TargetMode="External"/><Relationship Id="rId30" Type="http://schemas.openxmlformats.org/officeDocument/2006/relationships/hyperlink" Target="https://www.immune.org.nz/factsheets/cold-chain-policy-template" TargetMode="External"/><Relationship Id="rId35" Type="http://schemas.openxmlformats.org/officeDocument/2006/relationships/hyperlink" Target="https://www.immune.org.nz/factsheets/cold-chain-breach-or-excursion-form" TargetMode="External"/><Relationship Id="rId43" Type="http://schemas.openxmlformats.org/officeDocument/2006/relationships/hyperlink" Target="https://cdn.prod.website-files.com/626347e28491730d2bea1832/633b5b36c68a5b05cb4b6cd5_StandardOffsiteVaccineMgt20181009V02Final.pdf" TargetMode="External"/><Relationship Id="rId48" Type="http://schemas.openxmlformats.org/officeDocument/2006/relationships/hyperlink" Target="https://vimeo.com/573755916/1a98d03c9d" TargetMode="External"/><Relationship Id="rId56"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hyperlink" Target="https://www.rnzcgp.org.nz/Quality/Foundation/Foundation_2022/Quality/Foundation_2022/Foundation_Standard_introduction_.aspx?hkey=2c5db860-8261-4f74-ad8e-23a94e3ff9cb" TargetMode="External"/><Relationship Id="rId3" Type="http://schemas.openxmlformats.org/officeDocument/2006/relationships/customXml" Target="../customXml/item3.xml"/><Relationship Id="rId12" Type="http://schemas.openxmlformats.org/officeDocument/2006/relationships/hyperlink" Target="https://www.health.govt.nz/our-work/immunisation-handbook-2020" TargetMode="External"/><Relationship Id="rId17" Type="http://schemas.openxmlformats.org/officeDocument/2006/relationships/hyperlink" Target="https://aucklandregion.communityhealthpathways.org/loginfiles/Landing.aspx?from=c51645078eb64657b4e657f663074990&amp;page=92952.htm" TargetMode="External"/><Relationship Id="rId25" Type="http://schemas.openxmlformats.org/officeDocument/2006/relationships/hyperlink" Target="https://www.health.govt.nz/system/files/documents/publications/national-standards-for-vaccine-storage-and-transportation-for-immunisation-providers-sep19.pdf" TargetMode="External"/><Relationship Id="rId33" Type="http://schemas.openxmlformats.org/officeDocument/2006/relationships/hyperlink" Target="https://cdn.prod.website-files.com/637315ab5c5af14ee5809c17/637ac08ffaa874821801e603_ColdChain_Temp_Breach-3_web.pdf" TargetMode="External"/><Relationship Id="rId38" Type="http://schemas.openxmlformats.org/officeDocument/2006/relationships/hyperlink" Target="https://cdn.prod.website-files.com/626347e28491730d2bea1832/633b5997aeb69d7560cf0b31_ColdChainOrientationGuideCheck%20updated%20May%202020_0.docx" TargetMode="External"/><Relationship Id="rId46" Type="http://schemas.openxmlformats.org/officeDocument/2006/relationships/hyperlink" Target="https://cdn.prod.website-files.com/626347e28491730d2bea1832/633b5a1ce7e657c0ab8c1fe8_COOL%20Project%20Stakeholder%20Summary%20Report%20_FINAL%20December%202017%20updated%206%20Dec%202019.pdf" TargetMode="External"/><Relationship Id="rId5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4124B25B1E845B1A19E42F89E38F9" ma:contentTypeVersion="13" ma:contentTypeDescription="Create a new document." ma:contentTypeScope="" ma:versionID="6f3f4e5e493efae863d3a971de987292">
  <xsd:schema xmlns:xsd="http://www.w3.org/2001/XMLSchema" xmlns:xs="http://www.w3.org/2001/XMLSchema" xmlns:p="http://schemas.microsoft.com/office/2006/metadata/properties" xmlns:ns2="a65093cb-ebec-4320-a974-8635a1b3dba2" xmlns:ns3="6151fb80-72a8-4837-87a1-2998bc8a1322" targetNamespace="http://schemas.microsoft.com/office/2006/metadata/properties" ma:root="true" ma:fieldsID="619920cecd909c51d40cd0ca6e0b69de" ns2:_="" ns3:_="">
    <xsd:import namespace="a65093cb-ebec-4320-a974-8635a1b3dba2"/>
    <xsd:import namespace="6151fb80-72a8-4837-87a1-2998bc8a1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093cb-ebec-4320-a974-8635a1b3d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6b07-e038-435d-935d-a487aeec1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1fb80-72a8-4837-87a1-2998bc8a1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2298e-8757-468c-ae26-e7e2d34df4d0}" ma:internalName="TaxCatchAll" ma:showField="CatchAllData" ma:web="6151fb80-72a8-4837-87a1-2998bc8a1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093cb-ebec-4320-a974-8635a1b3dba2">
      <Terms xmlns="http://schemas.microsoft.com/office/infopath/2007/PartnerControls"/>
    </lcf76f155ced4ddcb4097134ff3c332f>
    <TaxCatchAll xmlns="6151fb80-72a8-4837-87a1-2998bc8a1322" xsi:nil="true"/>
  </documentManagement>
</p:properties>
</file>

<file path=customXml/itemProps1.xml><?xml version="1.0" encoding="utf-8"?>
<ds:datastoreItem xmlns:ds="http://schemas.openxmlformats.org/officeDocument/2006/customXml" ds:itemID="{5B8F957F-7779-4999-993B-291BBF647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093cb-ebec-4320-a974-8635a1b3dba2"/>
    <ds:schemaRef ds:uri="6151fb80-72a8-4837-87a1-2998bc8a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1776F-281E-4F88-BFF2-154C70379DC4}">
  <ds:schemaRefs>
    <ds:schemaRef ds:uri="http://schemas.microsoft.com/sharepoint/v3/contenttype/forms"/>
  </ds:schemaRefs>
</ds:datastoreItem>
</file>

<file path=customXml/itemProps3.xml><?xml version="1.0" encoding="utf-8"?>
<ds:datastoreItem xmlns:ds="http://schemas.openxmlformats.org/officeDocument/2006/customXml" ds:itemID="{408AA2D3-9F68-4DA3-BFB2-E8B3CFB30858}">
  <ds:schemaRefs>
    <ds:schemaRef ds:uri="http://schemas.microsoft.com/office/2006/metadata/properties"/>
    <ds:schemaRef ds:uri="http://schemas.microsoft.com/office/infopath/2007/PartnerControls"/>
    <ds:schemaRef ds:uri="a65093cb-ebec-4320-a974-8635a1b3dba2"/>
    <ds:schemaRef ds:uri="6151fb80-72a8-4837-87a1-2998bc8a1322"/>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26254</CharactersWithSpaces>
  <SharedDoc>false</SharedDoc>
  <HLinks>
    <vt:vector size="276" baseType="variant">
      <vt:variant>
        <vt:i4>589865</vt:i4>
      </vt:variant>
      <vt:variant>
        <vt:i4>135</vt:i4>
      </vt:variant>
      <vt:variant>
        <vt:i4>0</vt:i4>
      </vt:variant>
      <vt:variant>
        <vt:i4>5</vt:i4>
      </vt:variant>
      <vt:variant>
        <vt:lpwstr>https://www.rnzcgp.org.nz/Quality/Foundation/Foundation_2022/Quality/Foundation_2022/Foundation_Standard_introduction_.aspx?hkey=2c5db860-8261-4f74-ad8e-23a94e3ff9cb</vt:lpwstr>
      </vt:variant>
      <vt:variant>
        <vt:lpwstr/>
      </vt:variant>
      <vt:variant>
        <vt:i4>4784203</vt:i4>
      </vt:variant>
      <vt:variant>
        <vt:i4>132</vt:i4>
      </vt:variant>
      <vt:variant>
        <vt:i4>0</vt:i4>
      </vt:variant>
      <vt:variant>
        <vt:i4>5</vt:i4>
      </vt:variant>
      <vt:variant>
        <vt:lpwstr>http://www.immune.org.nz/</vt:lpwstr>
      </vt:variant>
      <vt:variant>
        <vt:lpwstr/>
      </vt:variant>
      <vt:variant>
        <vt:i4>7012452</vt:i4>
      </vt:variant>
      <vt:variant>
        <vt:i4>129</vt:i4>
      </vt:variant>
      <vt:variant>
        <vt:i4>0</vt:i4>
      </vt:variant>
      <vt:variant>
        <vt:i4>5</vt:i4>
      </vt:variant>
      <vt:variant>
        <vt:lpwstr>http://www.moh.govt.nz/</vt:lpwstr>
      </vt:variant>
      <vt:variant>
        <vt:lpwstr/>
      </vt:variant>
      <vt:variant>
        <vt:i4>6946875</vt:i4>
      </vt:variant>
      <vt:variant>
        <vt:i4>126</vt:i4>
      </vt:variant>
      <vt:variant>
        <vt:i4>0</vt:i4>
      </vt:variant>
      <vt:variant>
        <vt:i4>5</vt:i4>
      </vt:variant>
      <vt:variant>
        <vt:lpwstr>https://www.health.govt.nz/our-work/immunisation-handbook-2020</vt:lpwstr>
      </vt:variant>
      <vt:variant>
        <vt:lpwstr/>
      </vt:variant>
      <vt:variant>
        <vt:i4>1835095</vt:i4>
      </vt:variant>
      <vt:variant>
        <vt:i4>123</vt:i4>
      </vt:variant>
      <vt:variant>
        <vt:i4>0</vt:i4>
      </vt:variant>
      <vt:variant>
        <vt:i4>5</vt:i4>
      </vt:variant>
      <vt:variant>
        <vt:lpwstr>https://www.immune.org.nz/factsheets/vaccine-incident-reporting-form</vt:lpwstr>
      </vt:variant>
      <vt:variant>
        <vt:lpwstr/>
      </vt:variant>
      <vt:variant>
        <vt:i4>3539040</vt:i4>
      </vt:variant>
      <vt:variant>
        <vt:i4>120</vt:i4>
      </vt:variant>
      <vt:variant>
        <vt:i4>0</vt:i4>
      </vt:variant>
      <vt:variant>
        <vt:i4>5</vt:i4>
      </vt:variant>
      <vt:variant>
        <vt:lpwstr>https://vimeo.com/573755916/1a98d03c9d</vt:lpwstr>
      </vt:variant>
      <vt:variant>
        <vt:lpwstr/>
      </vt:variant>
      <vt:variant>
        <vt:i4>7536747</vt:i4>
      </vt:variant>
      <vt:variant>
        <vt:i4>117</vt:i4>
      </vt:variant>
      <vt:variant>
        <vt:i4>0</vt:i4>
      </vt:variant>
      <vt:variant>
        <vt:i4>5</vt:i4>
      </vt:variant>
      <vt:variant>
        <vt:lpwstr>https://cdn.prod.website-files.com/626347e28491730d2bea1832/633b5a1ce7e657c0ab8c1fe8_COOL Project Stakeholder Summary Report _FINAL December 2017 updated 6 Dec 2019.pdf</vt:lpwstr>
      </vt:variant>
      <vt:variant>
        <vt:lpwstr/>
      </vt:variant>
      <vt:variant>
        <vt:i4>7536747</vt:i4>
      </vt:variant>
      <vt:variant>
        <vt:i4>114</vt:i4>
      </vt:variant>
      <vt:variant>
        <vt:i4>0</vt:i4>
      </vt:variant>
      <vt:variant>
        <vt:i4>5</vt:i4>
      </vt:variant>
      <vt:variant>
        <vt:lpwstr>https://cdn.prod.website-files.com/626347e28491730d2bea1832/633b5a1ce7e657c0ab8c1fe8_COOL Project Stakeholder Summary Report _FINAL December 2017 updated 6 Dec 2019.pdf</vt:lpwstr>
      </vt:variant>
      <vt:variant>
        <vt:lpwstr/>
      </vt:variant>
      <vt:variant>
        <vt:i4>5046310</vt:i4>
      </vt:variant>
      <vt:variant>
        <vt:i4>111</vt:i4>
      </vt:variant>
      <vt:variant>
        <vt:i4>0</vt:i4>
      </vt:variant>
      <vt:variant>
        <vt:i4>5</vt:i4>
      </vt:variant>
      <vt:variant>
        <vt:lpwstr>https://cdn.prod.website-files.com/626347e28491730d2bea1832/633b59875261e87b2927d830_ColdChainOffSiteTempLog20181008V01Final.docx</vt:lpwstr>
      </vt:variant>
      <vt:variant>
        <vt:lpwstr/>
      </vt:variant>
      <vt:variant>
        <vt:i4>2293878</vt:i4>
      </vt:variant>
      <vt:variant>
        <vt:i4>108</vt:i4>
      </vt:variant>
      <vt:variant>
        <vt:i4>0</vt:i4>
      </vt:variant>
      <vt:variant>
        <vt:i4>5</vt:i4>
      </vt:variant>
      <vt:variant>
        <vt:lpwstr>https://acrobat.adobe.com/link/track?uri=urn:aaid:scds:US:61df5e07-4b7b-38bf-a006-e36c26da4c8b</vt:lpwstr>
      </vt:variant>
      <vt:variant>
        <vt:lpwstr/>
      </vt:variant>
      <vt:variant>
        <vt:i4>6946829</vt:i4>
      </vt:variant>
      <vt:variant>
        <vt:i4>105</vt:i4>
      </vt:variant>
      <vt:variant>
        <vt:i4>0</vt:i4>
      </vt:variant>
      <vt:variant>
        <vt:i4>5</vt:i4>
      </vt:variant>
      <vt:variant>
        <vt:lpwstr>https://cdn.prod.website-files.com/626347e28491730d2bea1832/633b5b36c68a5b05cb4b6cd5_StandardOffsiteVaccineMgt20181009V02Final.pdf</vt:lpwstr>
      </vt:variant>
      <vt:variant>
        <vt:lpwstr/>
      </vt:variant>
      <vt:variant>
        <vt:i4>8257579</vt:i4>
      </vt:variant>
      <vt:variant>
        <vt:i4>102</vt:i4>
      </vt:variant>
      <vt:variant>
        <vt:i4>0</vt:i4>
      </vt:variant>
      <vt:variant>
        <vt:i4>5</vt:i4>
      </vt:variant>
      <vt:variant>
        <vt:lpwstr>https://acrobat.adobe.com/link/track?uri=urn:aaid:scds:US:2bdf9f28-2d71-31d4-a1fd-5578589022b8</vt:lpwstr>
      </vt:variant>
      <vt:variant>
        <vt:lpwstr/>
      </vt:variant>
      <vt:variant>
        <vt:i4>7536704</vt:i4>
      </vt:variant>
      <vt:variant>
        <vt:i4>99</vt:i4>
      </vt:variant>
      <vt:variant>
        <vt:i4>0</vt:i4>
      </vt:variant>
      <vt:variant>
        <vt:i4>5</vt:i4>
      </vt:variant>
      <vt:variant>
        <vt:lpwstr>https://cdn.prod.website-files.com/626347e28491730d2bea1832/633b5b264e7f87713dee47ed_StandardColdChainImac20200501V01Final.pdf</vt:lpwstr>
      </vt:variant>
      <vt:variant>
        <vt:lpwstr/>
      </vt:variant>
      <vt:variant>
        <vt:i4>5242952</vt:i4>
      </vt:variant>
      <vt:variant>
        <vt:i4>96</vt:i4>
      </vt:variant>
      <vt:variant>
        <vt:i4>0</vt:i4>
      </vt:variant>
      <vt:variant>
        <vt:i4>5</vt:i4>
      </vt:variant>
      <vt:variant>
        <vt:lpwstr>https://cdn.prod.website-files.com/626347e28491730d2bea1832/633b59ae775abc90ca088fc6_ColdChainVaccineRegister20181008V01Final_0.doc</vt:lpwstr>
      </vt:variant>
      <vt:variant>
        <vt:lpwstr/>
      </vt:variant>
      <vt:variant>
        <vt:i4>5242952</vt:i4>
      </vt:variant>
      <vt:variant>
        <vt:i4>93</vt:i4>
      </vt:variant>
      <vt:variant>
        <vt:i4>0</vt:i4>
      </vt:variant>
      <vt:variant>
        <vt:i4>5</vt:i4>
      </vt:variant>
      <vt:variant>
        <vt:lpwstr>https://cdn.prod.website-files.com/626347e28491730d2bea1832/633b59ae775abc90ca088fc6_ColdChainVaccineRegister20181008V01Final_0.doc</vt:lpwstr>
      </vt:variant>
      <vt:variant>
        <vt:lpwstr/>
      </vt:variant>
      <vt:variant>
        <vt:i4>3080304</vt:i4>
      </vt:variant>
      <vt:variant>
        <vt:i4>90</vt:i4>
      </vt:variant>
      <vt:variant>
        <vt:i4>0</vt:i4>
      </vt:variant>
      <vt:variant>
        <vt:i4>5</vt:i4>
      </vt:variant>
      <vt:variant>
        <vt:lpwstr>https://cdn.prod.website-files.com/626347e28491730d2bea1832/633b5997aeb69d7560cf0b31_ColdChainOrientationGuideCheck updated May 2020_0.docx</vt:lpwstr>
      </vt:variant>
      <vt:variant>
        <vt:lpwstr/>
      </vt:variant>
      <vt:variant>
        <vt:i4>3080304</vt:i4>
      </vt:variant>
      <vt:variant>
        <vt:i4>87</vt:i4>
      </vt:variant>
      <vt:variant>
        <vt:i4>0</vt:i4>
      </vt:variant>
      <vt:variant>
        <vt:i4>5</vt:i4>
      </vt:variant>
      <vt:variant>
        <vt:lpwstr>https://cdn.prod.website-files.com/626347e28491730d2bea1832/633b5997aeb69d7560cf0b31_ColdChainOrientationGuideCheck updated May 2020_0.docx</vt:lpwstr>
      </vt:variant>
      <vt:variant>
        <vt:lpwstr/>
      </vt:variant>
      <vt:variant>
        <vt:i4>1245282</vt:i4>
      </vt:variant>
      <vt:variant>
        <vt:i4>84</vt:i4>
      </vt:variant>
      <vt:variant>
        <vt:i4>0</vt:i4>
      </vt:variant>
      <vt:variant>
        <vt:i4>5</vt:i4>
      </vt:variant>
      <vt:variant>
        <vt:lpwstr>https://cdn.prod.website-files.com/626347e28491730d2bea1832/633b59a5db65f1ba22e4b315_ColdChainRecFolderContents updated May 2020.docx</vt:lpwstr>
      </vt:variant>
      <vt:variant>
        <vt:lpwstr/>
      </vt:variant>
      <vt:variant>
        <vt:i4>1966161</vt:i4>
      </vt:variant>
      <vt:variant>
        <vt:i4>81</vt:i4>
      </vt:variant>
      <vt:variant>
        <vt:i4>0</vt:i4>
      </vt:variant>
      <vt:variant>
        <vt:i4>5</vt:i4>
      </vt:variant>
      <vt:variant>
        <vt:lpwstr>https://www.immune.org.nz/factsheets/cold-chain-breach-or-excursion-form</vt:lpwstr>
      </vt:variant>
      <vt:variant>
        <vt:lpwstr/>
      </vt:variant>
      <vt:variant>
        <vt:i4>1769575</vt:i4>
      </vt:variant>
      <vt:variant>
        <vt:i4>78</vt:i4>
      </vt:variant>
      <vt:variant>
        <vt:i4>0</vt:i4>
      </vt:variant>
      <vt:variant>
        <vt:i4>5</vt:i4>
      </vt:variant>
      <vt:variant>
        <vt:lpwstr>https://cdn.prod.website-files.com/637315ab5c5af16c7e809c42/659c84bf73cf29bcac8f76fe_cold chain temperature breech flow chart.pdf</vt:lpwstr>
      </vt:variant>
      <vt:variant>
        <vt:lpwstr/>
      </vt:variant>
      <vt:variant>
        <vt:i4>6488097</vt:i4>
      </vt:variant>
      <vt:variant>
        <vt:i4>75</vt:i4>
      </vt:variant>
      <vt:variant>
        <vt:i4>0</vt:i4>
      </vt:variant>
      <vt:variant>
        <vt:i4>5</vt:i4>
      </vt:variant>
      <vt:variant>
        <vt:lpwstr>https://cdn.prod.website-files.com/637315ab5c5af14ee5809c17/637ac08ffaa874821801e603_ColdChain_Temp_Breach-3_web.pdf</vt:lpwstr>
      </vt:variant>
      <vt:variant>
        <vt:lpwstr/>
      </vt:variant>
      <vt:variant>
        <vt:i4>3080228</vt:i4>
      </vt:variant>
      <vt:variant>
        <vt:i4>72</vt:i4>
      </vt:variant>
      <vt:variant>
        <vt:i4>0</vt:i4>
      </vt:variant>
      <vt:variant>
        <vt:i4>5</vt:i4>
      </vt:variant>
      <vt:variant>
        <vt:lpwstr>https://www.health.govt.nz/our-work/preventative-health-wellness/immunisation/national-immunisation-programme-cold-chain-management</vt:lpwstr>
      </vt:variant>
      <vt:variant>
        <vt:lpwstr/>
      </vt:variant>
      <vt:variant>
        <vt:i4>2359338</vt:i4>
      </vt:variant>
      <vt:variant>
        <vt:i4>69</vt:i4>
      </vt:variant>
      <vt:variant>
        <vt:i4>0</vt:i4>
      </vt:variant>
      <vt:variant>
        <vt:i4>5</vt:i4>
      </vt:variant>
      <vt:variant>
        <vt:lpwstr>https://cdn.prod.website-files.com/626347e28491730d2bea1832/633b59386fc46655d5958fa5_Cold_Chain_Policy_Template_09-2022_final.docx</vt:lpwstr>
      </vt:variant>
      <vt:variant>
        <vt:lpwstr/>
      </vt:variant>
      <vt:variant>
        <vt:i4>6750251</vt:i4>
      </vt:variant>
      <vt:variant>
        <vt:i4>66</vt:i4>
      </vt:variant>
      <vt:variant>
        <vt:i4>0</vt:i4>
      </vt:variant>
      <vt:variant>
        <vt:i4>5</vt:i4>
      </vt:variant>
      <vt:variant>
        <vt:lpwstr>https://www.immune.org.nz/factsheets/cold-chain-policy-template</vt:lpwstr>
      </vt:variant>
      <vt:variant>
        <vt:lpwstr/>
      </vt:variant>
      <vt:variant>
        <vt:i4>3604604</vt:i4>
      </vt:variant>
      <vt:variant>
        <vt:i4>63</vt:i4>
      </vt:variant>
      <vt:variant>
        <vt:i4>0</vt:i4>
      </vt:variant>
      <vt:variant>
        <vt:i4>5</vt:i4>
      </vt:variant>
      <vt:variant>
        <vt:lpwstr>https://www.tewhatuora.govt.nz/publications/2021-addendum-to-national-standards-for-vaccine-storage-and-transportation-providers-2017-2nd-edition/</vt:lpwstr>
      </vt:variant>
      <vt:variant>
        <vt:lpwstr/>
      </vt:variant>
      <vt:variant>
        <vt:i4>5963841</vt:i4>
      </vt:variant>
      <vt:variant>
        <vt:i4>60</vt:i4>
      </vt:variant>
      <vt:variant>
        <vt:i4>0</vt:i4>
      </vt:variant>
      <vt:variant>
        <vt:i4>5</vt:i4>
      </vt:variant>
      <vt:variant>
        <vt:lpwstr>https://www.health.govt.nz/publication/national-standards-vaccine-storage-and-transportation-immunisation-providers-2017</vt:lpwstr>
      </vt:variant>
      <vt:variant>
        <vt:lpwstr/>
      </vt:variant>
      <vt:variant>
        <vt:i4>5963841</vt:i4>
      </vt:variant>
      <vt:variant>
        <vt:i4>57</vt:i4>
      </vt:variant>
      <vt:variant>
        <vt:i4>0</vt:i4>
      </vt:variant>
      <vt:variant>
        <vt:i4>5</vt:i4>
      </vt:variant>
      <vt:variant>
        <vt:lpwstr>https://www.health.govt.nz/publication/national-standards-vaccine-storage-and-transportation-immunisation-providers-2017</vt:lpwstr>
      </vt:variant>
      <vt:variant>
        <vt:lpwstr/>
      </vt:variant>
      <vt:variant>
        <vt:i4>4915219</vt:i4>
      </vt:variant>
      <vt:variant>
        <vt:i4>54</vt:i4>
      </vt:variant>
      <vt:variant>
        <vt:i4>0</vt:i4>
      </vt:variant>
      <vt:variant>
        <vt:i4>5</vt:i4>
      </vt:variant>
      <vt:variant>
        <vt:lpwstr>https://www.tewhatuora.govt.nz/for-the-health-sector/vaccine-information/vaccine-service-delivery/cold-chain-standards-for-vaccines/</vt:lpwstr>
      </vt:variant>
      <vt:variant>
        <vt:lpwstr/>
      </vt:variant>
      <vt:variant>
        <vt:i4>3604604</vt:i4>
      </vt:variant>
      <vt:variant>
        <vt:i4>51</vt:i4>
      </vt:variant>
      <vt:variant>
        <vt:i4>0</vt:i4>
      </vt:variant>
      <vt:variant>
        <vt:i4>5</vt:i4>
      </vt:variant>
      <vt:variant>
        <vt:lpwstr>https://www.tewhatuora.govt.nz/publications/2021-addendum-to-national-standards-for-vaccine-storage-and-transportation-providers-2017-2nd-edition/</vt:lpwstr>
      </vt:variant>
      <vt:variant>
        <vt:lpwstr/>
      </vt:variant>
      <vt:variant>
        <vt:i4>5636172</vt:i4>
      </vt:variant>
      <vt:variant>
        <vt:i4>48</vt:i4>
      </vt:variant>
      <vt:variant>
        <vt:i4>0</vt:i4>
      </vt:variant>
      <vt:variant>
        <vt:i4>5</vt:i4>
      </vt:variant>
      <vt:variant>
        <vt:lpwstr>https://www.health.govt.nz/system/files/documents/publications/national-standards-for-vaccine-storage-and-transportation-for-immunisation-providers-sep19.pdf</vt:lpwstr>
      </vt:variant>
      <vt:variant>
        <vt:lpwstr/>
      </vt:variant>
      <vt:variant>
        <vt:i4>3276926</vt:i4>
      </vt:variant>
      <vt:variant>
        <vt:i4>45</vt:i4>
      </vt:variant>
      <vt:variant>
        <vt:i4>0</vt:i4>
      </vt:variant>
      <vt:variant>
        <vt:i4>5</vt:i4>
      </vt:variant>
      <vt:variant>
        <vt:lpwstr>https://www.healthed.govt.nz/resource/immunisation-certificate</vt:lpwstr>
      </vt:variant>
      <vt:variant>
        <vt:lpwstr/>
      </vt:variant>
      <vt:variant>
        <vt:i4>6750305</vt:i4>
      </vt:variant>
      <vt:variant>
        <vt:i4>42</vt:i4>
      </vt:variant>
      <vt:variant>
        <vt:i4>0</vt:i4>
      </vt:variant>
      <vt:variant>
        <vt:i4>5</vt:i4>
      </vt:variant>
      <vt:variant>
        <vt:lpwstr>https://www.health.govt.nz/our-work/immunisation-handbook-2020/3-vaccination-questions-and-addressing-concerns</vt:lpwstr>
      </vt:variant>
      <vt:variant>
        <vt:lpwstr/>
      </vt:variant>
      <vt:variant>
        <vt:i4>7143471</vt:i4>
      </vt:variant>
      <vt:variant>
        <vt:i4>39</vt:i4>
      </vt:variant>
      <vt:variant>
        <vt:i4>0</vt:i4>
      </vt:variant>
      <vt:variant>
        <vt:i4>5</vt:i4>
      </vt:variant>
      <vt:variant>
        <vt:lpwstr>https://healthed.govt.nz/products/after-your-child-is-immunised</vt:lpwstr>
      </vt:variant>
      <vt:variant>
        <vt:lpwstr/>
      </vt:variant>
      <vt:variant>
        <vt:i4>6750305</vt:i4>
      </vt:variant>
      <vt:variant>
        <vt:i4>36</vt:i4>
      </vt:variant>
      <vt:variant>
        <vt:i4>0</vt:i4>
      </vt:variant>
      <vt:variant>
        <vt:i4>5</vt:i4>
      </vt:variant>
      <vt:variant>
        <vt:lpwstr>https://www.health.govt.nz/our-work/immunisation-handbook-2020/3-vaccination-questions-and-addressing-concerns</vt:lpwstr>
      </vt:variant>
      <vt:variant>
        <vt:lpwstr/>
      </vt:variant>
      <vt:variant>
        <vt:i4>6750305</vt:i4>
      </vt:variant>
      <vt:variant>
        <vt:i4>33</vt:i4>
      </vt:variant>
      <vt:variant>
        <vt:i4>0</vt:i4>
      </vt:variant>
      <vt:variant>
        <vt:i4>5</vt:i4>
      </vt:variant>
      <vt:variant>
        <vt:lpwstr>https://www.health.govt.nz/our-work/immunisation-handbook-2020/3-vaccination-questions-and-addressing-concerns</vt:lpwstr>
      </vt:variant>
      <vt:variant>
        <vt:lpwstr/>
      </vt:variant>
      <vt:variant>
        <vt:i4>6881323</vt:i4>
      </vt:variant>
      <vt:variant>
        <vt:i4>30</vt:i4>
      </vt:variant>
      <vt:variant>
        <vt:i4>0</vt:i4>
      </vt:variant>
      <vt:variant>
        <vt:i4>5</vt:i4>
      </vt:variant>
      <vt:variant>
        <vt:lpwstr>https://www.immune.org.nz/factsheets/pre-vaccination-screening-tool</vt:lpwstr>
      </vt:variant>
      <vt:variant>
        <vt:lpwstr/>
      </vt:variant>
      <vt:variant>
        <vt:i4>3145773</vt:i4>
      </vt:variant>
      <vt:variant>
        <vt:i4>27</vt:i4>
      </vt:variant>
      <vt:variant>
        <vt:i4>0</vt:i4>
      </vt:variant>
      <vt:variant>
        <vt:i4>5</vt:i4>
      </vt:variant>
      <vt:variant>
        <vt:lpwstr>https://www.immune.org.nz/factsheets/equity-and-best-practice-immunisation</vt:lpwstr>
      </vt:variant>
      <vt:variant>
        <vt:lpwstr/>
      </vt:variant>
      <vt:variant>
        <vt:i4>4784203</vt:i4>
      </vt:variant>
      <vt:variant>
        <vt:i4>24</vt:i4>
      </vt:variant>
      <vt:variant>
        <vt:i4>0</vt:i4>
      </vt:variant>
      <vt:variant>
        <vt:i4>5</vt:i4>
      </vt:variant>
      <vt:variant>
        <vt:lpwstr>http://www.immune.org.nz/</vt:lpwstr>
      </vt:variant>
      <vt:variant>
        <vt:lpwstr/>
      </vt:variant>
      <vt:variant>
        <vt:i4>6750304</vt:i4>
      </vt:variant>
      <vt:variant>
        <vt:i4>21</vt:i4>
      </vt:variant>
      <vt:variant>
        <vt:i4>0</vt:i4>
      </vt:variant>
      <vt:variant>
        <vt:i4>5</vt:i4>
      </vt:variant>
      <vt:variant>
        <vt:lpwstr>https://aucklandregion.communityhealthpathways.org/loginfiles/Landing.aspx?from=c51645078eb64657b4e657f663074990&amp;page=92952.htm</vt:lpwstr>
      </vt:variant>
      <vt:variant>
        <vt:lpwstr/>
      </vt:variant>
      <vt:variant>
        <vt:i4>3080310</vt:i4>
      </vt:variant>
      <vt:variant>
        <vt:i4>18</vt:i4>
      </vt:variant>
      <vt:variant>
        <vt:i4>0</vt:i4>
      </vt:variant>
      <vt:variant>
        <vt:i4>5</vt:i4>
      </vt:variant>
      <vt:variant>
        <vt:lpwstr>https://www.tewhatuora.govt.nz/for-health-professionals/clinical-guidance/immunisation-handbook</vt:lpwstr>
      </vt:variant>
      <vt:variant>
        <vt:lpwstr/>
      </vt:variant>
      <vt:variant>
        <vt:i4>2621501</vt:i4>
      </vt:variant>
      <vt:variant>
        <vt:i4>15</vt:i4>
      </vt:variant>
      <vt:variant>
        <vt:i4>0</vt:i4>
      </vt:variant>
      <vt:variant>
        <vt:i4>5</vt:i4>
      </vt:variant>
      <vt:variant>
        <vt:lpwstr>https://www.tewhatuora.govt.nz/for-health-professionals/clinical-guidance/immunisation-handbook/funded-vaccines-for-special-groups/</vt:lpwstr>
      </vt:variant>
      <vt:variant>
        <vt:lpwstr/>
      </vt:variant>
      <vt:variant>
        <vt:i4>3997811</vt:i4>
      </vt:variant>
      <vt:variant>
        <vt:i4>12</vt:i4>
      </vt:variant>
      <vt:variant>
        <vt:i4>0</vt:i4>
      </vt:variant>
      <vt:variant>
        <vt:i4>5</vt:i4>
      </vt:variant>
      <vt:variant>
        <vt:lpwstr>https://www.tewhatuora.govt.nz/for-health-professionals/clinical-guidance/immunisation-handbook/5-coronavirus-disease-covid-19/</vt:lpwstr>
      </vt:variant>
      <vt:variant>
        <vt:lpwstr/>
      </vt:variant>
      <vt:variant>
        <vt:i4>3670074</vt:i4>
      </vt:variant>
      <vt:variant>
        <vt:i4>9</vt:i4>
      </vt:variant>
      <vt:variant>
        <vt:i4>0</vt:i4>
      </vt:variant>
      <vt:variant>
        <vt:i4>5</vt:i4>
      </vt:variant>
      <vt:variant>
        <vt:lpwstr>https://www.health.govt.nz/our-work/preventative-health-wellness/immunisation/new-zealand-immunisation-schedule</vt:lpwstr>
      </vt:variant>
      <vt:variant>
        <vt:lpwstr/>
      </vt:variant>
      <vt:variant>
        <vt:i4>6946875</vt:i4>
      </vt:variant>
      <vt:variant>
        <vt:i4>6</vt:i4>
      </vt:variant>
      <vt:variant>
        <vt:i4>0</vt:i4>
      </vt:variant>
      <vt:variant>
        <vt:i4>5</vt:i4>
      </vt:variant>
      <vt:variant>
        <vt:lpwstr>https://www.health.govt.nz/our-work/immunisation-handbook-2020</vt:lpwstr>
      </vt:variant>
      <vt:variant>
        <vt:lpwstr/>
      </vt:variant>
      <vt:variant>
        <vt:i4>6946875</vt:i4>
      </vt:variant>
      <vt:variant>
        <vt:i4>3</vt:i4>
      </vt:variant>
      <vt:variant>
        <vt:i4>0</vt:i4>
      </vt:variant>
      <vt:variant>
        <vt:i4>5</vt:i4>
      </vt:variant>
      <vt:variant>
        <vt:lpwstr>https://www.health.govt.nz/our-work/immunisation-handbook-2020</vt:lpwstr>
      </vt:variant>
      <vt:variant>
        <vt:lpwstr/>
      </vt:variant>
      <vt:variant>
        <vt:i4>3407904</vt:i4>
      </vt:variant>
      <vt:variant>
        <vt:i4>0</vt:i4>
      </vt:variant>
      <vt:variant>
        <vt:i4>0</vt:i4>
      </vt:variant>
      <vt:variant>
        <vt:i4>5</vt:i4>
      </vt:variant>
      <vt:variant>
        <vt:lpwstr>http://www.health.govt.nz/our-work/preventative-health-wellness/immunisation/new-zealand-immunisation-schedule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Burgess Shaw</dc:creator>
  <cp:keywords/>
  <dc:description/>
  <cp:lastModifiedBy>Komal Rana</cp:lastModifiedBy>
  <cp:revision>31</cp:revision>
  <cp:lastPrinted>2023-11-06T22:55:00Z</cp:lastPrinted>
  <dcterms:created xsi:type="dcterms:W3CDTF">2024-07-23T02:38:00Z</dcterms:created>
  <dcterms:modified xsi:type="dcterms:W3CDTF">2024-07-23T03:56:00Z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0x0101007F74124B25B1E845B1A19E42F89E38F9</vt:lpwstr>
  </property>
  <property fmtid="{D5CDD505-2E9C-101B-9397-08002B2CF9AE}" pid="3" name="MediaServiceImageTags">
    <vt:lpwstr/>
  </property>
</Properties>
</file>